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1EFD" w14:textId="77777777" w:rsidR="00DF74D9" w:rsidRDefault="00DF74D9"/>
    <w:p w14:paraId="2A045A3A" w14:textId="643AA7BD" w:rsidR="00DA0CC3" w:rsidRPr="00573DEE" w:rsidRDefault="00DA0CC3" w:rsidP="00DA0CC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3DEE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D861F" wp14:editId="407F43E1">
                <wp:simplePos x="0" y="0"/>
                <wp:positionH relativeFrom="column">
                  <wp:posOffset>-104775</wp:posOffset>
                </wp:positionH>
                <wp:positionV relativeFrom="paragraph">
                  <wp:posOffset>581025</wp:posOffset>
                </wp:positionV>
                <wp:extent cx="6257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8EE3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45.75pt" to="484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" strokecolor="#4a7ebb"/>
            </w:pict>
          </mc:Fallback>
        </mc:AlternateContent>
      </w:r>
      <w:r w:rsidRPr="00573DEE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BE8E0" wp14:editId="7A01C6EB">
                <wp:simplePos x="0" y="0"/>
                <wp:positionH relativeFrom="column">
                  <wp:posOffset>-104776</wp:posOffset>
                </wp:positionH>
                <wp:positionV relativeFrom="paragraph">
                  <wp:posOffset>-152400</wp:posOffset>
                </wp:positionV>
                <wp:extent cx="6257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3E4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2pt" to="484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Pr="00573DEE">
        <w:rPr>
          <w:rFonts w:ascii="Times New Roman" w:hAnsi="Times New Roman" w:cs="Times New Roman"/>
          <w:b/>
          <w:sz w:val="28"/>
          <w:szCs w:val="24"/>
        </w:rPr>
        <w:t>Summary of Content Changes</w:t>
      </w:r>
      <w:r w:rsidRPr="00573DEE">
        <w:rPr>
          <w:rFonts w:ascii="Times New Roman" w:hAnsi="Times New Roman" w:cs="Times New Roman"/>
          <w:b/>
          <w:sz w:val="28"/>
          <w:szCs w:val="24"/>
        </w:rPr>
        <w:br/>
        <w:t>202</w:t>
      </w:r>
      <w:r w:rsidR="00EF78C6">
        <w:rPr>
          <w:rFonts w:ascii="Times New Roman" w:hAnsi="Times New Roman" w:cs="Times New Roman"/>
          <w:b/>
          <w:sz w:val="28"/>
          <w:szCs w:val="24"/>
        </w:rPr>
        <w:t>4</w:t>
      </w:r>
      <w:r w:rsidRPr="00573DEE">
        <w:rPr>
          <w:rFonts w:ascii="Times New Roman" w:hAnsi="Times New Roman" w:cs="Times New Roman"/>
          <w:b/>
          <w:sz w:val="28"/>
          <w:szCs w:val="24"/>
        </w:rPr>
        <w:t>.</w:t>
      </w:r>
      <w:r w:rsidR="00EF78C6">
        <w:rPr>
          <w:rFonts w:ascii="Times New Roman" w:hAnsi="Times New Roman" w:cs="Times New Roman"/>
          <w:b/>
          <w:sz w:val="28"/>
          <w:szCs w:val="24"/>
        </w:rPr>
        <w:t>1</w:t>
      </w:r>
      <w:r w:rsidRPr="00573DEE">
        <w:rPr>
          <w:rFonts w:ascii="Times New Roman" w:hAnsi="Times New Roman" w:cs="Times New Roman"/>
          <w:b/>
          <w:sz w:val="28"/>
          <w:szCs w:val="24"/>
        </w:rPr>
        <w:t xml:space="preserve"> Update – </w:t>
      </w:r>
      <w:r w:rsidR="00EF78C6">
        <w:rPr>
          <w:rFonts w:ascii="Times New Roman" w:hAnsi="Times New Roman" w:cs="Times New Roman"/>
          <w:b/>
          <w:sz w:val="28"/>
          <w:szCs w:val="24"/>
        </w:rPr>
        <w:t>January 2024</w:t>
      </w:r>
    </w:p>
    <w:p w14:paraId="04061A72" w14:textId="77777777" w:rsidR="00DA0CC3" w:rsidRPr="00573DEE" w:rsidRDefault="00DA0CC3" w:rsidP="00DA0C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3143CE" w14:textId="77777777" w:rsidR="00DA0CC3" w:rsidRPr="00573DEE" w:rsidRDefault="00DA0CC3" w:rsidP="00DA0CC3">
      <w:pPr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General Notes</w:t>
      </w:r>
    </w:p>
    <w:p w14:paraId="7CCD56F3" w14:textId="6712C619" w:rsidR="00DA0CC3" w:rsidRPr="00573DEE" w:rsidRDefault="00DD2A88" w:rsidP="00DA0CC3">
      <w:pPr>
        <w:rPr>
          <w:rFonts w:cstheme="minorHAnsi"/>
          <w:sz w:val="24"/>
          <w:szCs w:val="24"/>
        </w:rPr>
      </w:pPr>
      <w:r w:rsidRPr="00573DEE">
        <w:rPr>
          <w:rFonts w:cstheme="minorHAnsi"/>
          <w:sz w:val="24"/>
          <w:szCs w:val="24"/>
        </w:rPr>
        <w:t xml:space="preserve">As </w:t>
      </w:r>
      <w:r w:rsidR="000C7CE2" w:rsidRPr="00573DEE">
        <w:rPr>
          <w:rFonts w:cstheme="minorHAnsi"/>
          <w:sz w:val="24"/>
          <w:szCs w:val="24"/>
        </w:rPr>
        <w:t>usual</w:t>
      </w:r>
      <w:r w:rsidRPr="00573DEE">
        <w:rPr>
          <w:rFonts w:cstheme="minorHAnsi"/>
          <w:sz w:val="24"/>
          <w:szCs w:val="24"/>
        </w:rPr>
        <w:t xml:space="preserve">, this </w:t>
      </w:r>
      <w:r w:rsidR="00DA0CC3" w:rsidRPr="00573DEE">
        <w:rPr>
          <w:rFonts w:cstheme="minorHAnsi"/>
          <w:sz w:val="24"/>
          <w:szCs w:val="24"/>
        </w:rPr>
        <w:t>quarterly update contains policy revisions related to threshold changes that occur every year</w:t>
      </w:r>
      <w:r w:rsidR="000C7CE2" w:rsidRPr="00573DEE">
        <w:rPr>
          <w:rFonts w:cstheme="minorHAnsi"/>
          <w:sz w:val="24"/>
          <w:szCs w:val="24"/>
        </w:rPr>
        <w:t xml:space="preserve">, </w:t>
      </w:r>
      <w:r w:rsidR="00DA0CC3" w:rsidRPr="00573DEE">
        <w:rPr>
          <w:rFonts w:cstheme="minorHAnsi"/>
          <w:sz w:val="24"/>
          <w:szCs w:val="24"/>
        </w:rPr>
        <w:t>as further outlined in more detail below:</w:t>
      </w:r>
    </w:p>
    <w:p w14:paraId="5CB4878B" w14:textId="3B57BCE7" w:rsidR="00192FCC" w:rsidRPr="00573DEE" w:rsidRDefault="007C44D6" w:rsidP="00754C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5" w:history="1">
        <w:r w:rsidR="00192FCC" w:rsidRPr="00573DEE">
          <w:rPr>
            <w:rStyle w:val="Hyperlink"/>
            <w:rFonts w:cstheme="minorHAnsi"/>
            <w:sz w:val="24"/>
            <w:szCs w:val="24"/>
          </w:rPr>
          <w:t>Regulation Z – Appraisals for HPMLs Exemption Threshold</w:t>
        </w:r>
      </w:hyperlink>
      <w:r w:rsidR="00192FCC" w:rsidRPr="00573DEE">
        <w:rPr>
          <w:rFonts w:cstheme="minorHAnsi"/>
          <w:sz w:val="24"/>
          <w:szCs w:val="24"/>
        </w:rPr>
        <w:t xml:space="preserve"> </w:t>
      </w:r>
      <w:r w:rsidR="005C30FC" w:rsidRPr="00573DEE">
        <w:rPr>
          <w:rFonts w:cstheme="minorHAnsi"/>
          <w:sz w:val="24"/>
          <w:szCs w:val="24"/>
        </w:rPr>
        <w:t xml:space="preserve">is reviewed each year and </w:t>
      </w:r>
      <w:r w:rsidR="00C568D9" w:rsidRPr="00573DEE">
        <w:rPr>
          <w:rFonts w:cstheme="minorHAnsi"/>
          <w:sz w:val="24"/>
          <w:szCs w:val="24"/>
        </w:rPr>
        <w:t>is typically adjusted based on inflation</w:t>
      </w:r>
      <w:r w:rsidR="00192FCC" w:rsidRPr="00573DEE">
        <w:rPr>
          <w:rFonts w:cstheme="minorHAnsi"/>
          <w:sz w:val="24"/>
          <w:szCs w:val="24"/>
        </w:rPr>
        <w:t xml:space="preserve">.  HPMLs under this threshold are not required to have an appraisal conducted under the rules.  The loan amount </w:t>
      </w:r>
      <w:r w:rsidR="00A5048D" w:rsidRPr="00573DEE">
        <w:rPr>
          <w:rFonts w:cstheme="minorHAnsi"/>
          <w:sz w:val="24"/>
          <w:szCs w:val="24"/>
        </w:rPr>
        <w:t>for 202</w:t>
      </w:r>
      <w:r w:rsidR="00C83D66">
        <w:rPr>
          <w:rFonts w:cstheme="minorHAnsi"/>
          <w:sz w:val="24"/>
          <w:szCs w:val="24"/>
        </w:rPr>
        <w:t>4</w:t>
      </w:r>
      <w:r w:rsidR="00A5048D" w:rsidRPr="00573DEE">
        <w:rPr>
          <w:rFonts w:cstheme="minorHAnsi"/>
          <w:sz w:val="24"/>
          <w:szCs w:val="24"/>
        </w:rPr>
        <w:t xml:space="preserve"> increased to</w:t>
      </w:r>
      <w:r w:rsidR="00192FCC" w:rsidRPr="00573DEE">
        <w:rPr>
          <w:rFonts w:cstheme="minorHAnsi"/>
          <w:sz w:val="24"/>
          <w:szCs w:val="24"/>
        </w:rPr>
        <w:t xml:space="preserve"> $</w:t>
      </w:r>
      <w:r w:rsidR="001A5ECD">
        <w:rPr>
          <w:rFonts w:cstheme="minorHAnsi"/>
          <w:sz w:val="24"/>
          <w:szCs w:val="24"/>
        </w:rPr>
        <w:t>3</w:t>
      </w:r>
      <w:r w:rsidR="00C83D66">
        <w:rPr>
          <w:rFonts w:cstheme="minorHAnsi"/>
          <w:sz w:val="24"/>
          <w:szCs w:val="24"/>
        </w:rPr>
        <w:t>2,4</w:t>
      </w:r>
      <w:r w:rsidR="005D29F8" w:rsidRPr="00573DEE">
        <w:rPr>
          <w:rFonts w:cstheme="minorHAnsi"/>
          <w:sz w:val="24"/>
          <w:szCs w:val="24"/>
        </w:rPr>
        <w:t>0</w:t>
      </w:r>
      <w:r w:rsidR="00796CA5">
        <w:rPr>
          <w:rFonts w:cstheme="minorHAnsi"/>
          <w:sz w:val="24"/>
          <w:szCs w:val="24"/>
        </w:rPr>
        <w:t>0</w:t>
      </w:r>
      <w:r w:rsidR="00192FCC" w:rsidRPr="00573DEE">
        <w:rPr>
          <w:rFonts w:cstheme="minorHAnsi"/>
          <w:sz w:val="24"/>
          <w:szCs w:val="24"/>
        </w:rPr>
        <w:t>.</w:t>
      </w:r>
      <w:r w:rsidR="00A47FAF" w:rsidRPr="00573DEE">
        <w:rPr>
          <w:rFonts w:cstheme="minorHAnsi"/>
          <w:sz w:val="24"/>
          <w:szCs w:val="24"/>
        </w:rPr>
        <w:t xml:space="preserve">  </w:t>
      </w:r>
      <w:r w:rsidR="00982A76">
        <w:rPr>
          <w:rFonts w:cstheme="minorHAnsi"/>
          <w:sz w:val="24"/>
          <w:szCs w:val="24"/>
        </w:rPr>
        <w:br/>
        <w:t xml:space="preserve"> </w:t>
      </w:r>
    </w:p>
    <w:p w14:paraId="437E484A" w14:textId="71A4DBC9" w:rsidR="00192FCC" w:rsidRPr="00573DEE" w:rsidRDefault="007C44D6" w:rsidP="00192FC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hyperlink r:id="rId6" w:history="1">
        <w:r w:rsidR="00192FCC" w:rsidRPr="00573DEE">
          <w:rPr>
            <w:rStyle w:val="Hyperlink"/>
            <w:rFonts w:cstheme="minorHAnsi"/>
            <w:sz w:val="24"/>
            <w:szCs w:val="24"/>
          </w:rPr>
          <w:t>Regulation Z – High</w:t>
        </w:r>
        <w:r w:rsidR="00F27226" w:rsidRPr="00573DEE">
          <w:rPr>
            <w:rStyle w:val="Hyperlink"/>
            <w:rFonts w:cstheme="minorHAnsi"/>
            <w:sz w:val="24"/>
            <w:szCs w:val="24"/>
          </w:rPr>
          <w:t>-</w:t>
        </w:r>
        <w:r w:rsidR="00192FCC" w:rsidRPr="00573DEE">
          <w:rPr>
            <w:rStyle w:val="Hyperlink"/>
            <w:rFonts w:cstheme="minorHAnsi"/>
            <w:sz w:val="24"/>
            <w:szCs w:val="24"/>
          </w:rPr>
          <w:t>Cost Mortgage Loan Fee Threshold</w:t>
        </w:r>
      </w:hyperlink>
      <w:r w:rsidR="00192FCC" w:rsidRPr="00573DEE">
        <w:rPr>
          <w:rFonts w:cstheme="minorHAnsi"/>
          <w:sz w:val="24"/>
          <w:szCs w:val="24"/>
        </w:rPr>
        <w:t xml:space="preserve">.  </w:t>
      </w:r>
      <w:r w:rsidR="00445906" w:rsidRPr="00573DEE">
        <w:rPr>
          <w:rFonts w:cstheme="minorHAnsi"/>
          <w:sz w:val="24"/>
          <w:szCs w:val="24"/>
        </w:rPr>
        <w:t xml:space="preserve">Credit unions </w:t>
      </w:r>
      <w:proofErr w:type="gramStart"/>
      <w:r w:rsidR="00192FCC" w:rsidRPr="00573DEE">
        <w:rPr>
          <w:rFonts w:cstheme="minorHAnsi"/>
          <w:sz w:val="24"/>
          <w:szCs w:val="24"/>
        </w:rPr>
        <w:t>originating</w:t>
      </w:r>
      <w:proofErr w:type="gramEnd"/>
      <w:r w:rsidR="00192FCC" w:rsidRPr="00573DEE">
        <w:rPr>
          <w:rFonts w:cstheme="minorHAnsi"/>
          <w:sz w:val="24"/>
          <w:szCs w:val="24"/>
        </w:rPr>
        <w:t xml:space="preserve"> a </w:t>
      </w:r>
      <w:r w:rsidR="006A03F0" w:rsidRPr="00573DEE">
        <w:rPr>
          <w:rFonts w:cstheme="minorHAnsi"/>
          <w:sz w:val="24"/>
          <w:szCs w:val="24"/>
        </w:rPr>
        <w:t>high-cost</w:t>
      </w:r>
      <w:r w:rsidR="00192FCC" w:rsidRPr="00573DEE">
        <w:rPr>
          <w:rFonts w:cstheme="minorHAnsi"/>
          <w:sz w:val="24"/>
          <w:szCs w:val="24"/>
        </w:rPr>
        <w:t xml:space="preserve"> mortgage</w:t>
      </w:r>
      <w:r w:rsidR="00445906" w:rsidRPr="00573DEE">
        <w:rPr>
          <w:rFonts w:cstheme="minorHAnsi"/>
          <w:sz w:val="24"/>
          <w:szCs w:val="24"/>
        </w:rPr>
        <w:t xml:space="preserve"> have loans with</w:t>
      </w:r>
      <w:r w:rsidR="00192FCC" w:rsidRPr="00573DEE">
        <w:rPr>
          <w:rFonts w:cstheme="minorHAnsi"/>
          <w:sz w:val="24"/>
          <w:szCs w:val="24"/>
        </w:rPr>
        <w:t xml:space="preserve"> points and fees </w:t>
      </w:r>
      <w:r w:rsidR="00445906" w:rsidRPr="00573DEE">
        <w:rPr>
          <w:rFonts w:cstheme="minorHAnsi"/>
          <w:sz w:val="24"/>
          <w:szCs w:val="24"/>
        </w:rPr>
        <w:t>that exceed thresholds established by the CFPB</w:t>
      </w:r>
      <w:r w:rsidR="00192FCC" w:rsidRPr="00573DEE">
        <w:rPr>
          <w:rFonts w:cstheme="minorHAnsi"/>
          <w:sz w:val="24"/>
          <w:szCs w:val="24"/>
        </w:rPr>
        <w:t>.  These are adjusted annually.  Effective on January 1, 202</w:t>
      </w:r>
      <w:r w:rsidR="0014074D">
        <w:rPr>
          <w:rFonts w:cstheme="minorHAnsi"/>
          <w:sz w:val="24"/>
          <w:szCs w:val="24"/>
        </w:rPr>
        <w:t>4</w:t>
      </w:r>
      <w:r w:rsidR="00445906" w:rsidRPr="00573DEE">
        <w:rPr>
          <w:rFonts w:cstheme="minorHAnsi"/>
          <w:sz w:val="24"/>
          <w:szCs w:val="24"/>
        </w:rPr>
        <w:t>,</w:t>
      </w:r>
      <w:r w:rsidR="00192FCC" w:rsidRPr="00573DEE">
        <w:rPr>
          <w:rFonts w:cstheme="minorHAnsi"/>
          <w:sz w:val="24"/>
          <w:szCs w:val="24"/>
        </w:rPr>
        <w:t xml:space="preserve"> a transaction is </w:t>
      </w:r>
      <w:proofErr w:type="gramStart"/>
      <w:r w:rsidR="00192FCC" w:rsidRPr="00573DEE">
        <w:rPr>
          <w:rFonts w:cstheme="minorHAnsi"/>
          <w:sz w:val="24"/>
          <w:szCs w:val="24"/>
        </w:rPr>
        <w:t>high-cost</w:t>
      </w:r>
      <w:proofErr w:type="gramEnd"/>
      <w:r w:rsidR="00192FCC" w:rsidRPr="00573DEE">
        <w:rPr>
          <w:rFonts w:cstheme="minorHAnsi"/>
          <w:sz w:val="24"/>
          <w:szCs w:val="24"/>
        </w:rPr>
        <w:t xml:space="preserve"> if its points and fees exceed: </w:t>
      </w:r>
    </w:p>
    <w:p w14:paraId="5EA81AF8" w14:textId="0A8B9502" w:rsidR="00192FCC" w:rsidRPr="00573DEE" w:rsidRDefault="00192FCC" w:rsidP="00192FCC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573DEE">
        <w:rPr>
          <w:rFonts w:cstheme="minorHAnsi"/>
          <w:sz w:val="24"/>
          <w:szCs w:val="24"/>
        </w:rPr>
        <w:t>5% of the total loan amount for a loan greater than or equal to $</w:t>
      </w:r>
      <w:r w:rsidR="001F1AB3">
        <w:rPr>
          <w:rFonts w:cstheme="minorHAnsi"/>
          <w:sz w:val="24"/>
          <w:szCs w:val="24"/>
        </w:rPr>
        <w:t>26,092</w:t>
      </w:r>
      <w:r w:rsidR="005066CA">
        <w:rPr>
          <w:rFonts w:cstheme="minorHAnsi"/>
          <w:sz w:val="24"/>
          <w:szCs w:val="24"/>
        </w:rPr>
        <w:t>.</w:t>
      </w:r>
    </w:p>
    <w:p w14:paraId="721F7EFF" w14:textId="6AF54D56" w:rsidR="00192FCC" w:rsidRPr="008D34DD" w:rsidRDefault="00192FCC" w:rsidP="00085D4D">
      <w:pPr>
        <w:pStyle w:val="ListParagraph"/>
        <w:numPr>
          <w:ilvl w:val="1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8D34DD">
        <w:rPr>
          <w:rFonts w:cstheme="minorHAnsi"/>
          <w:sz w:val="24"/>
          <w:szCs w:val="24"/>
        </w:rPr>
        <w:t>8% of the total loan amount or $</w:t>
      </w:r>
      <w:r w:rsidR="001F1AB3">
        <w:rPr>
          <w:rFonts w:cstheme="minorHAnsi"/>
          <w:sz w:val="24"/>
          <w:szCs w:val="24"/>
        </w:rPr>
        <w:t>1,305</w:t>
      </w:r>
      <w:r w:rsidRPr="008D34DD">
        <w:rPr>
          <w:rFonts w:cstheme="minorHAnsi"/>
          <w:sz w:val="24"/>
          <w:szCs w:val="24"/>
        </w:rPr>
        <w:t xml:space="preserve"> (whichever is less) for a loan amount less than $</w:t>
      </w:r>
      <w:r w:rsidR="00006445">
        <w:rPr>
          <w:rFonts w:cstheme="minorHAnsi"/>
          <w:sz w:val="24"/>
          <w:szCs w:val="24"/>
        </w:rPr>
        <w:t>26,092</w:t>
      </w:r>
      <w:r w:rsidRPr="008D34DD">
        <w:rPr>
          <w:rFonts w:cstheme="minorHAnsi"/>
          <w:sz w:val="24"/>
          <w:szCs w:val="24"/>
        </w:rPr>
        <w:t>.</w:t>
      </w:r>
      <w:r w:rsidR="00982A76" w:rsidRPr="008D34DD">
        <w:rPr>
          <w:rFonts w:cstheme="minorHAnsi"/>
          <w:sz w:val="24"/>
          <w:szCs w:val="24"/>
        </w:rPr>
        <w:br/>
        <w:t xml:space="preserve"> </w:t>
      </w:r>
    </w:p>
    <w:p w14:paraId="3D57F3D9" w14:textId="7790CEB7" w:rsidR="00192FCC" w:rsidRPr="00573DEE" w:rsidRDefault="007C44D6" w:rsidP="00192FC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hyperlink r:id="rId7" w:history="1">
        <w:r w:rsidR="00192FCC" w:rsidRPr="00573DEE">
          <w:rPr>
            <w:rStyle w:val="Hyperlink"/>
            <w:rFonts w:cstheme="minorHAnsi"/>
            <w:sz w:val="24"/>
            <w:szCs w:val="24"/>
          </w:rPr>
          <w:t xml:space="preserve">Regulation Z – Qualified Mortgage Thresholds. </w:t>
        </w:r>
      </w:hyperlink>
      <w:r w:rsidR="00192FCC" w:rsidRPr="00573DEE">
        <w:rPr>
          <w:rFonts w:cstheme="minorHAnsi"/>
          <w:sz w:val="24"/>
          <w:szCs w:val="24"/>
        </w:rPr>
        <w:t xml:space="preserve"> Under the ability to repay rules, credit unions are provided with a safe harbor if they originate a qualified mortgage.  Among other criteria, the loan is considered a qualified mortgage if the loan</w:t>
      </w:r>
      <w:r w:rsidR="000C7CE2" w:rsidRPr="00573DEE">
        <w:rPr>
          <w:rFonts w:cstheme="minorHAnsi"/>
          <w:sz w:val="24"/>
          <w:szCs w:val="24"/>
        </w:rPr>
        <w:t>’</w:t>
      </w:r>
      <w:r w:rsidR="00192FCC" w:rsidRPr="00573DEE">
        <w:rPr>
          <w:rFonts w:cstheme="minorHAnsi"/>
          <w:sz w:val="24"/>
          <w:szCs w:val="24"/>
        </w:rPr>
        <w:t>s points and fees are below certain thresholds.  Those thresholds are adjusted annually.  Effective on January 1, 202</w:t>
      </w:r>
      <w:r w:rsidR="00714B2C">
        <w:rPr>
          <w:rFonts w:cstheme="minorHAnsi"/>
          <w:sz w:val="24"/>
          <w:szCs w:val="24"/>
        </w:rPr>
        <w:t>4</w:t>
      </w:r>
      <w:r w:rsidR="00192FCC" w:rsidRPr="00573DEE">
        <w:rPr>
          <w:rFonts w:cstheme="minorHAnsi"/>
          <w:sz w:val="24"/>
          <w:szCs w:val="24"/>
        </w:rPr>
        <w:t>:</w:t>
      </w:r>
    </w:p>
    <w:tbl>
      <w:tblPr>
        <w:tblW w:w="518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2"/>
        <w:gridCol w:w="2592"/>
      </w:tblGrid>
      <w:tr w:rsidR="00192FCC" w:rsidRPr="00573DEE" w14:paraId="2222F583" w14:textId="77777777" w:rsidTr="005751DC">
        <w:trPr>
          <w:trHeight w:val="295"/>
          <w:jc w:val="center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A55E" w14:textId="77777777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Loan Amount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09AD" w14:textId="77777777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Points and Fees Limit</w:t>
            </w:r>
          </w:p>
        </w:tc>
      </w:tr>
      <w:tr w:rsidR="00192FCC" w:rsidRPr="00573DEE" w14:paraId="73D13A04" w14:textId="77777777" w:rsidTr="005751DC">
        <w:trPr>
          <w:trHeight w:val="144"/>
          <w:jc w:val="center"/>
        </w:trPr>
        <w:tc>
          <w:tcPr>
            <w:tcW w:w="2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156E4" w14:textId="332561A6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$</w:t>
            </w:r>
            <w:r w:rsidR="000E783E">
              <w:rPr>
                <w:rFonts w:cstheme="minorHAnsi"/>
                <w:b/>
                <w:bCs/>
                <w:sz w:val="24"/>
                <w:szCs w:val="24"/>
              </w:rPr>
              <w:t>130,461</w:t>
            </w:r>
            <w:r w:rsidRPr="00573DEE">
              <w:rPr>
                <w:rFonts w:cstheme="minorHAnsi"/>
                <w:b/>
                <w:bCs/>
                <w:sz w:val="24"/>
                <w:szCs w:val="24"/>
              </w:rPr>
              <w:t xml:space="preserve"> or more</w:t>
            </w:r>
          </w:p>
        </w:tc>
        <w:tc>
          <w:tcPr>
            <w:tcW w:w="2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F3A6D" w14:textId="77777777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3%</w:t>
            </w:r>
          </w:p>
        </w:tc>
      </w:tr>
      <w:tr w:rsidR="00192FCC" w:rsidRPr="00573DEE" w14:paraId="7D32DE95" w14:textId="77777777" w:rsidTr="005751DC">
        <w:trPr>
          <w:trHeight w:val="144"/>
          <w:jc w:val="center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BA42A" w14:textId="5259D5DA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$</w:t>
            </w:r>
            <w:r w:rsidR="009A1C46">
              <w:rPr>
                <w:rFonts w:cstheme="minorHAnsi"/>
                <w:b/>
                <w:bCs/>
                <w:sz w:val="24"/>
                <w:szCs w:val="24"/>
              </w:rPr>
              <w:t>78</w:t>
            </w:r>
            <w:r w:rsidR="00D63572">
              <w:rPr>
                <w:rFonts w:cstheme="minorHAnsi"/>
                <w:b/>
                <w:bCs/>
                <w:sz w:val="24"/>
                <w:szCs w:val="24"/>
              </w:rPr>
              <w:t>,2</w:t>
            </w:r>
            <w:r w:rsidR="000A05B1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D63572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6E3494" w:rsidRPr="00573DEE">
              <w:rPr>
                <w:rFonts w:cstheme="minorHAnsi"/>
                <w:b/>
                <w:bCs/>
                <w:sz w:val="24"/>
                <w:szCs w:val="24"/>
              </w:rPr>
              <w:t xml:space="preserve"> - $</w:t>
            </w:r>
            <w:r w:rsidR="00D63572">
              <w:rPr>
                <w:rFonts w:cstheme="minorHAnsi"/>
                <w:b/>
                <w:bCs/>
                <w:sz w:val="24"/>
                <w:szCs w:val="24"/>
              </w:rPr>
              <w:t>130,461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5AAB7" w14:textId="431B9806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$3,</w:t>
            </w:r>
            <w:r w:rsidR="000D44D8">
              <w:rPr>
                <w:rFonts w:cstheme="minorHAnsi"/>
                <w:b/>
                <w:bCs/>
                <w:sz w:val="24"/>
                <w:szCs w:val="24"/>
              </w:rPr>
              <w:t>914</w:t>
            </w:r>
          </w:p>
        </w:tc>
      </w:tr>
      <w:tr w:rsidR="00192FCC" w:rsidRPr="00573DEE" w14:paraId="2D3AD422" w14:textId="77777777" w:rsidTr="005751DC">
        <w:trPr>
          <w:trHeight w:val="144"/>
          <w:jc w:val="center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91EB7F" w14:textId="7D3376EC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$</w:t>
            </w:r>
            <w:r w:rsidR="000D44D8">
              <w:rPr>
                <w:rFonts w:cstheme="minorHAnsi"/>
                <w:b/>
                <w:bCs/>
                <w:sz w:val="24"/>
                <w:szCs w:val="24"/>
              </w:rPr>
              <w:t>26,092</w:t>
            </w:r>
            <w:r w:rsidRPr="00573DEE">
              <w:rPr>
                <w:rFonts w:cstheme="minorHAnsi"/>
                <w:b/>
                <w:bCs/>
                <w:sz w:val="24"/>
                <w:szCs w:val="24"/>
              </w:rPr>
              <w:t xml:space="preserve"> - $</w:t>
            </w:r>
            <w:r w:rsidR="00D63572">
              <w:rPr>
                <w:rFonts w:cstheme="minorHAnsi"/>
                <w:b/>
                <w:bCs/>
                <w:sz w:val="24"/>
                <w:szCs w:val="24"/>
              </w:rPr>
              <w:t>78,</w:t>
            </w:r>
            <w:r w:rsidR="00FE0F6C">
              <w:rPr>
                <w:rFonts w:cstheme="minorHAnsi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43A3C" w14:textId="77777777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5%</w:t>
            </w:r>
          </w:p>
        </w:tc>
      </w:tr>
      <w:tr w:rsidR="00192FCC" w:rsidRPr="00573DEE" w14:paraId="41A63997" w14:textId="77777777" w:rsidTr="005751DC">
        <w:trPr>
          <w:trHeight w:val="144"/>
          <w:jc w:val="center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8E901" w14:textId="08EF31B7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$</w:t>
            </w:r>
            <w:r w:rsidR="000D44D8">
              <w:rPr>
                <w:rFonts w:cstheme="minorHAnsi"/>
                <w:b/>
                <w:bCs/>
                <w:sz w:val="24"/>
                <w:szCs w:val="24"/>
              </w:rPr>
              <w:t>16,308</w:t>
            </w:r>
            <w:r w:rsidRPr="00573DEE">
              <w:rPr>
                <w:rFonts w:cstheme="minorHAnsi"/>
                <w:b/>
                <w:bCs/>
                <w:sz w:val="24"/>
                <w:szCs w:val="24"/>
              </w:rPr>
              <w:t xml:space="preserve"> - $</w:t>
            </w:r>
            <w:r w:rsidR="000D44D8">
              <w:rPr>
                <w:rFonts w:cstheme="minorHAnsi"/>
                <w:b/>
                <w:bCs/>
                <w:sz w:val="24"/>
                <w:szCs w:val="24"/>
              </w:rPr>
              <w:t>26,092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F9E3C" w14:textId="5D84FAC5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$</w:t>
            </w:r>
            <w:r w:rsidR="00EE64AC">
              <w:rPr>
                <w:rFonts w:cstheme="minorHAnsi"/>
                <w:b/>
                <w:bCs/>
                <w:sz w:val="24"/>
                <w:szCs w:val="24"/>
              </w:rPr>
              <w:t>1,305</w:t>
            </w:r>
          </w:p>
        </w:tc>
      </w:tr>
      <w:tr w:rsidR="00192FCC" w:rsidRPr="00573DEE" w14:paraId="3DD3DCD6" w14:textId="77777777" w:rsidTr="005751DC">
        <w:trPr>
          <w:trHeight w:val="144"/>
          <w:jc w:val="center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C2EDF" w14:textId="17DD5DE0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Less than $</w:t>
            </w:r>
            <w:r w:rsidR="00EE64AC">
              <w:rPr>
                <w:rFonts w:cstheme="minorHAnsi"/>
                <w:b/>
                <w:bCs/>
                <w:sz w:val="24"/>
                <w:szCs w:val="24"/>
              </w:rPr>
              <w:t>16,308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EF2C3" w14:textId="77777777" w:rsidR="00192FCC" w:rsidRPr="00573DEE" w:rsidRDefault="00192FCC" w:rsidP="005751D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73DEE">
              <w:rPr>
                <w:rFonts w:cstheme="minorHAnsi"/>
                <w:b/>
                <w:bCs/>
                <w:sz w:val="24"/>
                <w:szCs w:val="24"/>
              </w:rPr>
              <w:t>8%</w:t>
            </w:r>
          </w:p>
        </w:tc>
      </w:tr>
    </w:tbl>
    <w:p w14:paraId="03CBC7DA" w14:textId="00567C8A" w:rsidR="00192FCC" w:rsidRPr="00573DEE" w:rsidRDefault="00192FCC" w:rsidP="00192FCC">
      <w:pPr>
        <w:spacing w:line="256" w:lineRule="auto"/>
        <w:rPr>
          <w:rFonts w:cstheme="minorHAnsi"/>
          <w:sz w:val="24"/>
          <w:szCs w:val="24"/>
        </w:rPr>
      </w:pPr>
    </w:p>
    <w:p w14:paraId="10F46D76" w14:textId="3CF61995" w:rsidR="00EF40ED" w:rsidRPr="00573DEE" w:rsidRDefault="00EF40ED" w:rsidP="00777C55">
      <w:pPr>
        <w:spacing w:line="256" w:lineRule="auto"/>
        <w:ind w:left="720"/>
        <w:rPr>
          <w:rFonts w:cstheme="minorHAnsi"/>
          <w:sz w:val="24"/>
          <w:szCs w:val="24"/>
        </w:rPr>
      </w:pPr>
      <w:r w:rsidRPr="00573DEE">
        <w:rPr>
          <w:rFonts w:cstheme="minorHAnsi"/>
          <w:sz w:val="24"/>
          <w:szCs w:val="24"/>
        </w:rPr>
        <w:t>In addition, for the “general qualified mortgage”</w:t>
      </w:r>
      <w:r w:rsidR="0088480A" w:rsidRPr="00573DEE">
        <w:rPr>
          <w:rFonts w:cstheme="minorHAnsi"/>
          <w:sz w:val="24"/>
          <w:szCs w:val="24"/>
        </w:rPr>
        <w:t xml:space="preserve"> category, </w:t>
      </w:r>
      <w:r w:rsidR="00A67EA6" w:rsidRPr="00573DEE">
        <w:rPr>
          <w:rFonts w:cstheme="minorHAnsi"/>
          <w:sz w:val="24"/>
          <w:szCs w:val="24"/>
        </w:rPr>
        <w:t xml:space="preserve">the </w:t>
      </w:r>
      <w:r w:rsidR="00E76592">
        <w:rPr>
          <w:rFonts w:cstheme="minorHAnsi"/>
          <w:sz w:val="24"/>
          <w:szCs w:val="24"/>
        </w:rPr>
        <w:t xml:space="preserve">loan’s APR cannot exceed the threshold over the APOR for a </w:t>
      </w:r>
      <w:r w:rsidR="00A67EA6" w:rsidRPr="00573DEE">
        <w:rPr>
          <w:rFonts w:cstheme="minorHAnsi"/>
          <w:sz w:val="24"/>
          <w:szCs w:val="24"/>
        </w:rPr>
        <w:t>comparable transaction as of the date by which t</w:t>
      </w:r>
      <w:r w:rsidR="00777C55" w:rsidRPr="00573DEE">
        <w:rPr>
          <w:rFonts w:cstheme="minorHAnsi"/>
          <w:sz w:val="24"/>
          <w:szCs w:val="24"/>
        </w:rPr>
        <w:t>he interest rate is set:</w:t>
      </w:r>
    </w:p>
    <w:p w14:paraId="31488C52" w14:textId="4EF443D5" w:rsidR="00E958A7" w:rsidRPr="00573DEE" w:rsidRDefault="00E958A7" w:rsidP="00E958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3DEE">
        <w:rPr>
          <w:rFonts w:eastAsia="Times New Roman" w:cstheme="minorHAnsi"/>
          <w:sz w:val="24"/>
          <w:szCs w:val="24"/>
        </w:rPr>
        <w:t>2.25% or more for a first-lien loan with an amount greater than or equal to $</w:t>
      </w:r>
      <w:r w:rsidR="00EE64AC">
        <w:rPr>
          <w:rFonts w:eastAsia="Times New Roman" w:cstheme="minorHAnsi"/>
          <w:sz w:val="24"/>
          <w:szCs w:val="24"/>
        </w:rPr>
        <w:t>130,461</w:t>
      </w:r>
      <w:r w:rsidRPr="00573DEE">
        <w:rPr>
          <w:rFonts w:eastAsia="Times New Roman" w:cstheme="minorHAnsi"/>
          <w:sz w:val="24"/>
          <w:szCs w:val="24"/>
        </w:rPr>
        <w:t>;</w:t>
      </w:r>
      <w:r w:rsidRPr="00573DEE">
        <w:rPr>
          <w:rFonts w:eastAsia="Times New Roman" w:cstheme="minorHAnsi"/>
          <w:sz w:val="24"/>
          <w:szCs w:val="24"/>
        </w:rPr>
        <w:br/>
        <w:t> </w:t>
      </w:r>
    </w:p>
    <w:p w14:paraId="473C0672" w14:textId="7A433FFF" w:rsidR="00E958A7" w:rsidRPr="00573DEE" w:rsidRDefault="00E958A7" w:rsidP="00E958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3DEE">
        <w:rPr>
          <w:rFonts w:eastAsia="Times New Roman" w:cstheme="minorHAnsi"/>
          <w:sz w:val="24"/>
          <w:szCs w:val="24"/>
        </w:rPr>
        <w:t>3.5% or more for a first-lien loan with an amount equal to $</w:t>
      </w:r>
      <w:r w:rsidR="007446EA">
        <w:rPr>
          <w:rFonts w:eastAsia="Times New Roman" w:cstheme="minorHAnsi"/>
          <w:sz w:val="24"/>
          <w:szCs w:val="24"/>
        </w:rPr>
        <w:t>78,277</w:t>
      </w:r>
      <w:r w:rsidRPr="00573DEE">
        <w:rPr>
          <w:rFonts w:eastAsia="Times New Roman" w:cstheme="minorHAnsi"/>
          <w:sz w:val="24"/>
          <w:szCs w:val="24"/>
        </w:rPr>
        <w:t xml:space="preserve"> but less than $</w:t>
      </w:r>
      <w:r w:rsidR="007446EA">
        <w:rPr>
          <w:rFonts w:eastAsia="Times New Roman" w:cstheme="minorHAnsi"/>
          <w:sz w:val="24"/>
          <w:szCs w:val="24"/>
        </w:rPr>
        <w:t>130,461</w:t>
      </w:r>
      <w:r w:rsidRPr="00573DEE">
        <w:rPr>
          <w:rFonts w:eastAsia="Times New Roman" w:cstheme="minorHAnsi"/>
          <w:sz w:val="24"/>
          <w:szCs w:val="24"/>
        </w:rPr>
        <w:t>;</w:t>
      </w:r>
      <w:r w:rsidRPr="00573DEE">
        <w:rPr>
          <w:rFonts w:eastAsia="Times New Roman" w:cstheme="minorHAnsi"/>
          <w:sz w:val="24"/>
          <w:szCs w:val="24"/>
        </w:rPr>
        <w:br/>
        <w:t> </w:t>
      </w:r>
    </w:p>
    <w:p w14:paraId="64D02964" w14:textId="7CFAEC2C" w:rsidR="00E958A7" w:rsidRPr="00573DEE" w:rsidRDefault="00E958A7" w:rsidP="00E958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3DEE">
        <w:rPr>
          <w:rFonts w:eastAsia="Times New Roman" w:cstheme="minorHAnsi"/>
          <w:sz w:val="24"/>
          <w:szCs w:val="24"/>
        </w:rPr>
        <w:t>6.5% or more for a first-lien loan with an amount less than $</w:t>
      </w:r>
      <w:r w:rsidR="00976EA4">
        <w:rPr>
          <w:rFonts w:eastAsia="Times New Roman" w:cstheme="minorHAnsi"/>
          <w:sz w:val="24"/>
          <w:szCs w:val="24"/>
        </w:rPr>
        <w:t>7</w:t>
      </w:r>
      <w:r w:rsidR="007446EA">
        <w:rPr>
          <w:rFonts w:eastAsia="Times New Roman" w:cstheme="minorHAnsi"/>
          <w:sz w:val="24"/>
          <w:szCs w:val="24"/>
        </w:rPr>
        <w:t>8,277</w:t>
      </w:r>
      <w:r w:rsidRPr="00573DEE">
        <w:rPr>
          <w:rFonts w:eastAsia="Times New Roman" w:cstheme="minorHAnsi"/>
          <w:sz w:val="24"/>
          <w:szCs w:val="24"/>
        </w:rPr>
        <w:t>;</w:t>
      </w:r>
      <w:r w:rsidRPr="00573DEE">
        <w:rPr>
          <w:rFonts w:eastAsia="Times New Roman" w:cstheme="minorHAnsi"/>
          <w:sz w:val="24"/>
          <w:szCs w:val="24"/>
        </w:rPr>
        <w:br/>
        <w:t> </w:t>
      </w:r>
    </w:p>
    <w:p w14:paraId="20D0C356" w14:textId="1724E03A" w:rsidR="00E958A7" w:rsidRPr="00573DEE" w:rsidRDefault="00E958A7" w:rsidP="00E958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3DEE">
        <w:rPr>
          <w:rFonts w:eastAsia="Times New Roman" w:cstheme="minorHAnsi"/>
          <w:sz w:val="24"/>
          <w:szCs w:val="24"/>
        </w:rPr>
        <w:t>6.5% or more for a first-lien loan secured by a manufactured home with a loan amount less than $</w:t>
      </w:r>
      <w:r w:rsidR="00976EA4">
        <w:rPr>
          <w:rFonts w:eastAsia="Times New Roman" w:cstheme="minorHAnsi"/>
          <w:sz w:val="24"/>
          <w:szCs w:val="24"/>
        </w:rPr>
        <w:t>1</w:t>
      </w:r>
      <w:r w:rsidR="007446EA">
        <w:rPr>
          <w:rFonts w:eastAsia="Times New Roman" w:cstheme="minorHAnsi"/>
          <w:sz w:val="24"/>
          <w:szCs w:val="24"/>
        </w:rPr>
        <w:t>30,</w:t>
      </w:r>
      <w:r w:rsidR="00954181">
        <w:rPr>
          <w:rFonts w:eastAsia="Times New Roman" w:cstheme="minorHAnsi"/>
          <w:sz w:val="24"/>
          <w:szCs w:val="24"/>
        </w:rPr>
        <w:t>461</w:t>
      </w:r>
      <w:r w:rsidRPr="00573DEE">
        <w:rPr>
          <w:rFonts w:eastAsia="Times New Roman" w:cstheme="minorHAnsi"/>
          <w:sz w:val="24"/>
          <w:szCs w:val="24"/>
        </w:rPr>
        <w:t>;</w:t>
      </w:r>
      <w:r w:rsidRPr="00573DEE">
        <w:rPr>
          <w:rFonts w:eastAsia="Times New Roman" w:cstheme="minorHAnsi"/>
          <w:sz w:val="24"/>
          <w:szCs w:val="24"/>
        </w:rPr>
        <w:br/>
        <w:t> </w:t>
      </w:r>
    </w:p>
    <w:p w14:paraId="5020FAB5" w14:textId="1F4DA9FA" w:rsidR="00E958A7" w:rsidRPr="00573DEE" w:rsidRDefault="00E958A7" w:rsidP="00E958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3DEE">
        <w:rPr>
          <w:rFonts w:eastAsia="Times New Roman" w:cstheme="minorHAnsi"/>
          <w:sz w:val="24"/>
          <w:szCs w:val="24"/>
        </w:rPr>
        <w:t>3.5% or more for a subordinate-lien loan with an amount greater than or equal to $</w:t>
      </w:r>
      <w:r w:rsidR="00976EA4">
        <w:rPr>
          <w:rFonts w:eastAsia="Times New Roman" w:cstheme="minorHAnsi"/>
          <w:sz w:val="24"/>
          <w:szCs w:val="24"/>
        </w:rPr>
        <w:t>7</w:t>
      </w:r>
      <w:r w:rsidR="00954181">
        <w:rPr>
          <w:rFonts w:eastAsia="Times New Roman" w:cstheme="minorHAnsi"/>
          <w:sz w:val="24"/>
          <w:szCs w:val="24"/>
        </w:rPr>
        <w:t>8,277</w:t>
      </w:r>
      <w:r w:rsidRPr="00573DEE">
        <w:rPr>
          <w:rFonts w:eastAsia="Times New Roman" w:cstheme="minorHAnsi"/>
          <w:sz w:val="24"/>
          <w:szCs w:val="24"/>
        </w:rPr>
        <w:t>; or</w:t>
      </w:r>
      <w:r w:rsidRPr="00573DEE">
        <w:rPr>
          <w:rFonts w:eastAsia="Times New Roman" w:cstheme="minorHAnsi"/>
          <w:sz w:val="24"/>
          <w:szCs w:val="24"/>
        </w:rPr>
        <w:br/>
      </w:r>
    </w:p>
    <w:p w14:paraId="288EC480" w14:textId="0788FFB3" w:rsidR="00E958A7" w:rsidRPr="00573DEE" w:rsidRDefault="00E958A7" w:rsidP="00E958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73DEE">
        <w:rPr>
          <w:rFonts w:eastAsia="Times New Roman" w:cstheme="minorHAnsi"/>
          <w:sz w:val="24"/>
          <w:szCs w:val="24"/>
        </w:rPr>
        <w:t>6.5% or more for a subordinate-lien loan with an amount less than $</w:t>
      </w:r>
      <w:r w:rsidR="004F03B3">
        <w:rPr>
          <w:rFonts w:eastAsia="Times New Roman" w:cstheme="minorHAnsi"/>
          <w:sz w:val="24"/>
          <w:szCs w:val="24"/>
        </w:rPr>
        <w:t>7</w:t>
      </w:r>
      <w:r w:rsidR="00954181">
        <w:rPr>
          <w:rFonts w:eastAsia="Times New Roman" w:cstheme="minorHAnsi"/>
          <w:sz w:val="24"/>
          <w:szCs w:val="24"/>
        </w:rPr>
        <w:t>8,277</w:t>
      </w:r>
      <w:r w:rsidRPr="00573DEE">
        <w:rPr>
          <w:rFonts w:eastAsia="Times New Roman" w:cstheme="minorHAnsi"/>
          <w:sz w:val="24"/>
          <w:szCs w:val="24"/>
        </w:rPr>
        <w:t>.</w:t>
      </w:r>
    </w:p>
    <w:p w14:paraId="3BBE9BF6" w14:textId="3B52FD3C" w:rsidR="00192FCC" w:rsidRPr="00573DEE" w:rsidRDefault="007C44D6" w:rsidP="00192FC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hyperlink r:id="rId8" w:history="1">
        <w:r w:rsidR="00192FCC" w:rsidRPr="00573DEE">
          <w:rPr>
            <w:rStyle w:val="Hyperlink"/>
            <w:rFonts w:cstheme="minorHAnsi"/>
            <w:sz w:val="24"/>
            <w:szCs w:val="24"/>
          </w:rPr>
          <w:t xml:space="preserve">IRS – Health Savings Accounts (HSA) Contribution Limits. </w:t>
        </w:r>
      </w:hyperlink>
      <w:r w:rsidR="00192FCC" w:rsidRPr="00573DEE">
        <w:rPr>
          <w:rFonts w:cstheme="minorHAnsi"/>
          <w:sz w:val="24"/>
          <w:szCs w:val="24"/>
        </w:rPr>
        <w:t xml:space="preserve"> These limits are adjusted by the IRS annually.  Credit unions should ensure contributions to HSAs do not exceed these limits.  For January 1, 202</w:t>
      </w:r>
      <w:r w:rsidR="00D304D1">
        <w:rPr>
          <w:rFonts w:cstheme="minorHAnsi"/>
          <w:sz w:val="24"/>
          <w:szCs w:val="24"/>
        </w:rPr>
        <w:t>4</w:t>
      </w:r>
      <w:r w:rsidR="005F7649" w:rsidRPr="00573DEE">
        <w:rPr>
          <w:rFonts w:cstheme="minorHAnsi"/>
          <w:sz w:val="24"/>
          <w:szCs w:val="24"/>
        </w:rPr>
        <w:t>,</w:t>
      </w:r>
      <w:r w:rsidR="00192FCC" w:rsidRPr="00573DEE">
        <w:rPr>
          <w:rFonts w:cstheme="minorHAnsi"/>
          <w:sz w:val="24"/>
          <w:szCs w:val="24"/>
        </w:rPr>
        <w:t xml:space="preserve"> contributions must be no more than $</w:t>
      </w:r>
      <w:r w:rsidR="00D304D1">
        <w:rPr>
          <w:rFonts w:cstheme="minorHAnsi"/>
          <w:sz w:val="24"/>
          <w:szCs w:val="24"/>
        </w:rPr>
        <w:t>4,150</w:t>
      </w:r>
      <w:r w:rsidR="00192FCC" w:rsidRPr="00573DEE">
        <w:rPr>
          <w:rFonts w:cstheme="minorHAnsi"/>
          <w:sz w:val="24"/>
          <w:szCs w:val="24"/>
        </w:rPr>
        <w:t xml:space="preserve"> for an individual plan and $</w:t>
      </w:r>
      <w:r w:rsidR="00D304D1">
        <w:rPr>
          <w:rFonts w:cstheme="minorHAnsi"/>
          <w:sz w:val="24"/>
          <w:szCs w:val="24"/>
        </w:rPr>
        <w:t>8,300</w:t>
      </w:r>
      <w:r w:rsidR="00192FCC" w:rsidRPr="00573DEE">
        <w:rPr>
          <w:rFonts w:cstheme="minorHAnsi"/>
          <w:sz w:val="24"/>
          <w:szCs w:val="24"/>
        </w:rPr>
        <w:t xml:space="preserve"> for a family plan.  This is a</w:t>
      </w:r>
      <w:r w:rsidR="00F83332" w:rsidRPr="00573DEE">
        <w:rPr>
          <w:rFonts w:cstheme="minorHAnsi"/>
          <w:sz w:val="24"/>
          <w:szCs w:val="24"/>
        </w:rPr>
        <w:t>n increase from 202</w:t>
      </w:r>
      <w:r w:rsidR="00D304D1">
        <w:rPr>
          <w:rFonts w:cstheme="minorHAnsi"/>
          <w:sz w:val="24"/>
          <w:szCs w:val="24"/>
        </w:rPr>
        <w:t>3</w:t>
      </w:r>
      <w:r w:rsidR="00F83332" w:rsidRPr="00573DEE">
        <w:rPr>
          <w:rFonts w:cstheme="minorHAnsi"/>
          <w:sz w:val="24"/>
          <w:szCs w:val="24"/>
        </w:rPr>
        <w:t>.</w:t>
      </w:r>
      <w:r w:rsidR="008D34DD">
        <w:rPr>
          <w:rFonts w:cstheme="minorHAnsi"/>
          <w:sz w:val="24"/>
          <w:szCs w:val="24"/>
        </w:rPr>
        <w:br/>
        <w:t xml:space="preserve"> </w:t>
      </w:r>
    </w:p>
    <w:p w14:paraId="1A71F4D3" w14:textId="1B0D3E53" w:rsidR="00192FCC" w:rsidRPr="00573DEE" w:rsidRDefault="007C44D6" w:rsidP="00192FCC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hyperlink r:id="rId9" w:history="1">
        <w:r w:rsidR="00192FCC" w:rsidRPr="00573DEE">
          <w:rPr>
            <w:rStyle w:val="Hyperlink"/>
            <w:rFonts w:cstheme="minorHAnsi"/>
            <w:sz w:val="24"/>
            <w:szCs w:val="24"/>
          </w:rPr>
          <w:t xml:space="preserve">Regulation M – Consumer Leasing. </w:t>
        </w:r>
      </w:hyperlink>
      <w:r w:rsidR="00192FCC" w:rsidRPr="00573DEE">
        <w:rPr>
          <w:rFonts w:cstheme="minorHAnsi"/>
          <w:sz w:val="24"/>
          <w:szCs w:val="24"/>
        </w:rPr>
        <w:t xml:space="preserve"> The threshold for determining if a contract is considered a consumer lease is adjusted annually.  While there are not policies within CU PolicyPro to reflect this threshold, we are providing the reference for information only.  The amount will </w:t>
      </w:r>
      <w:r w:rsidR="006A03F0" w:rsidRPr="00573DEE">
        <w:rPr>
          <w:rFonts w:cstheme="minorHAnsi"/>
          <w:sz w:val="24"/>
          <w:szCs w:val="24"/>
        </w:rPr>
        <w:t>increase</w:t>
      </w:r>
      <w:r w:rsidR="00192FCC" w:rsidRPr="00573DEE">
        <w:rPr>
          <w:rFonts w:cstheme="minorHAnsi"/>
          <w:sz w:val="24"/>
          <w:szCs w:val="24"/>
        </w:rPr>
        <w:t xml:space="preserve"> from the prior year for 202</w:t>
      </w:r>
      <w:r w:rsidR="00252F46">
        <w:rPr>
          <w:rFonts w:cstheme="minorHAnsi"/>
          <w:sz w:val="24"/>
          <w:szCs w:val="24"/>
        </w:rPr>
        <w:t>4</w:t>
      </w:r>
      <w:r w:rsidR="006A03F0" w:rsidRPr="00573DEE">
        <w:rPr>
          <w:rFonts w:cstheme="minorHAnsi"/>
          <w:sz w:val="24"/>
          <w:szCs w:val="24"/>
        </w:rPr>
        <w:t xml:space="preserve"> to</w:t>
      </w:r>
      <w:r w:rsidR="00192FCC" w:rsidRPr="00573DEE">
        <w:rPr>
          <w:rFonts w:cstheme="minorHAnsi"/>
          <w:sz w:val="24"/>
          <w:szCs w:val="24"/>
        </w:rPr>
        <w:t xml:space="preserve"> $</w:t>
      </w:r>
      <w:r w:rsidR="00555C6A">
        <w:rPr>
          <w:rFonts w:cstheme="minorHAnsi"/>
          <w:sz w:val="24"/>
          <w:szCs w:val="24"/>
        </w:rPr>
        <w:t>6</w:t>
      </w:r>
      <w:r w:rsidR="00252F46">
        <w:rPr>
          <w:rFonts w:cstheme="minorHAnsi"/>
          <w:sz w:val="24"/>
          <w:szCs w:val="24"/>
        </w:rPr>
        <w:t>9,500</w:t>
      </w:r>
      <w:r w:rsidR="00555C6A">
        <w:rPr>
          <w:rFonts w:cstheme="minorHAnsi"/>
          <w:sz w:val="24"/>
          <w:szCs w:val="24"/>
        </w:rPr>
        <w:t>.</w:t>
      </w:r>
      <w:r w:rsidR="002D1EF7">
        <w:rPr>
          <w:rFonts w:cstheme="minorHAnsi"/>
          <w:sz w:val="24"/>
          <w:szCs w:val="24"/>
        </w:rPr>
        <w:t xml:space="preserve"> </w:t>
      </w:r>
      <w:r w:rsidR="007808E7">
        <w:rPr>
          <w:rFonts w:cstheme="minorHAnsi"/>
          <w:sz w:val="24"/>
          <w:szCs w:val="24"/>
        </w:rPr>
        <w:br/>
        <w:t xml:space="preserve"> </w:t>
      </w:r>
    </w:p>
    <w:p w14:paraId="0FDAACD0" w14:textId="0A942EAE" w:rsidR="006E0AF8" w:rsidRPr="00573DEE" w:rsidRDefault="007C44D6" w:rsidP="006E0AF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hyperlink r:id="rId10" w:history="1">
        <w:r w:rsidR="006E0AF8" w:rsidRPr="00573DEE">
          <w:rPr>
            <w:rStyle w:val="Hyperlink"/>
            <w:rFonts w:cstheme="minorHAnsi"/>
            <w:sz w:val="24"/>
            <w:szCs w:val="24"/>
          </w:rPr>
          <w:t>Regulation Z – Asset Size Exemption</w:t>
        </w:r>
      </w:hyperlink>
      <w:r w:rsidR="006E0AF8" w:rsidRPr="00573DEE">
        <w:rPr>
          <w:rFonts w:cstheme="minorHAnsi"/>
          <w:sz w:val="24"/>
          <w:szCs w:val="24"/>
        </w:rPr>
        <w:t xml:space="preserve"> Th</w:t>
      </w:r>
      <w:r w:rsidR="005F7649" w:rsidRPr="00573DEE">
        <w:rPr>
          <w:rFonts w:cstheme="minorHAnsi"/>
          <w:sz w:val="24"/>
          <w:szCs w:val="24"/>
        </w:rPr>
        <w:t>ere is a th</w:t>
      </w:r>
      <w:r w:rsidR="006E0AF8" w:rsidRPr="00573DEE">
        <w:rPr>
          <w:rFonts w:cstheme="minorHAnsi"/>
          <w:sz w:val="24"/>
          <w:szCs w:val="24"/>
        </w:rPr>
        <w:t xml:space="preserve">reshold change for credit unions </w:t>
      </w:r>
      <w:r w:rsidR="005F7649" w:rsidRPr="00573DEE">
        <w:rPr>
          <w:rFonts w:cstheme="minorHAnsi"/>
          <w:sz w:val="24"/>
          <w:szCs w:val="24"/>
        </w:rPr>
        <w:t>that</w:t>
      </w:r>
      <w:r w:rsidR="006E0AF8" w:rsidRPr="00573DEE">
        <w:rPr>
          <w:rFonts w:cstheme="minorHAnsi"/>
          <w:sz w:val="24"/>
          <w:szCs w:val="24"/>
        </w:rPr>
        <w:t xml:space="preserve"> qualify for an exemption to the requirement for establishing an escrow account for higher-priced mortgage loans (HPMLs).  This asset size threshold </w:t>
      </w:r>
      <w:r w:rsidR="001F6737" w:rsidRPr="00573DEE">
        <w:rPr>
          <w:rFonts w:cstheme="minorHAnsi"/>
          <w:sz w:val="24"/>
          <w:szCs w:val="24"/>
        </w:rPr>
        <w:t>i</w:t>
      </w:r>
      <w:r w:rsidR="006E0AF8" w:rsidRPr="00573DEE">
        <w:rPr>
          <w:rFonts w:cstheme="minorHAnsi"/>
          <w:sz w:val="24"/>
          <w:szCs w:val="24"/>
        </w:rPr>
        <w:t>s $2.</w:t>
      </w:r>
      <w:r w:rsidR="00EB3859">
        <w:rPr>
          <w:rFonts w:cstheme="minorHAnsi"/>
          <w:sz w:val="24"/>
          <w:szCs w:val="24"/>
        </w:rPr>
        <w:t>640</w:t>
      </w:r>
      <w:r w:rsidR="006E0AF8" w:rsidRPr="00573DEE">
        <w:rPr>
          <w:rFonts w:cstheme="minorHAnsi"/>
          <w:sz w:val="24"/>
          <w:szCs w:val="24"/>
        </w:rPr>
        <w:t xml:space="preserve"> billion for 202</w:t>
      </w:r>
      <w:r w:rsidR="00EB3859">
        <w:rPr>
          <w:rFonts w:cstheme="minorHAnsi"/>
          <w:sz w:val="24"/>
          <w:szCs w:val="24"/>
        </w:rPr>
        <w:t>4</w:t>
      </w:r>
      <w:r w:rsidR="006E0AF8" w:rsidRPr="00573DEE">
        <w:rPr>
          <w:rFonts w:cstheme="minorHAnsi"/>
          <w:sz w:val="24"/>
          <w:szCs w:val="24"/>
        </w:rPr>
        <w:t xml:space="preserve">.  Credit unions under this asset size and </w:t>
      </w:r>
      <w:r w:rsidR="005F7649" w:rsidRPr="00573DEE">
        <w:rPr>
          <w:rFonts w:cstheme="minorHAnsi"/>
          <w:sz w:val="24"/>
          <w:szCs w:val="24"/>
        </w:rPr>
        <w:t>that</w:t>
      </w:r>
      <w:r w:rsidR="006E0AF8" w:rsidRPr="00573DEE">
        <w:rPr>
          <w:rFonts w:cstheme="minorHAnsi"/>
          <w:sz w:val="24"/>
          <w:szCs w:val="24"/>
        </w:rPr>
        <w:t xml:space="preserve"> meet other criteria, may be exempt from this requirement.</w:t>
      </w:r>
      <w:r w:rsidR="004236AE">
        <w:rPr>
          <w:rFonts w:cstheme="minorHAnsi"/>
          <w:sz w:val="24"/>
          <w:szCs w:val="24"/>
        </w:rPr>
        <w:br/>
      </w:r>
    </w:p>
    <w:p w14:paraId="5324581D" w14:textId="54C4CC74" w:rsidR="006E0AF8" w:rsidRPr="00573DEE" w:rsidRDefault="007C44D6" w:rsidP="006E0AF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hyperlink r:id="rId11" w:history="1">
        <w:r w:rsidR="006E0AF8" w:rsidRPr="00573DEE">
          <w:rPr>
            <w:rStyle w:val="Hyperlink"/>
            <w:rFonts w:cstheme="minorHAnsi"/>
            <w:sz w:val="24"/>
            <w:szCs w:val="24"/>
          </w:rPr>
          <w:t>Regulation C – Home Mortgage Disclosure Act Asset Size Exemption Threshold</w:t>
        </w:r>
      </w:hyperlink>
      <w:r w:rsidR="006E0AF8" w:rsidRPr="00573DEE">
        <w:rPr>
          <w:rFonts w:cstheme="minorHAnsi"/>
          <w:sz w:val="24"/>
          <w:szCs w:val="24"/>
        </w:rPr>
        <w:t xml:space="preserve"> </w:t>
      </w:r>
      <w:r w:rsidR="00C57124" w:rsidRPr="00573DEE">
        <w:rPr>
          <w:rFonts w:cstheme="minorHAnsi"/>
          <w:sz w:val="24"/>
          <w:szCs w:val="24"/>
        </w:rPr>
        <w:t>i</w:t>
      </w:r>
      <w:r w:rsidR="006E0AF8" w:rsidRPr="00573DEE">
        <w:rPr>
          <w:rFonts w:cstheme="minorHAnsi"/>
          <w:sz w:val="24"/>
          <w:szCs w:val="24"/>
        </w:rPr>
        <w:t>s $</w:t>
      </w:r>
      <w:r w:rsidR="0029358D" w:rsidRPr="00573DEE">
        <w:rPr>
          <w:rFonts w:cstheme="minorHAnsi"/>
          <w:sz w:val="24"/>
          <w:szCs w:val="24"/>
        </w:rPr>
        <w:t>5</w:t>
      </w:r>
      <w:r w:rsidR="008B30D3">
        <w:rPr>
          <w:rFonts w:cstheme="minorHAnsi"/>
          <w:sz w:val="24"/>
          <w:szCs w:val="24"/>
        </w:rPr>
        <w:t>6</w:t>
      </w:r>
      <w:r w:rsidR="006E0AF8" w:rsidRPr="00573DEE">
        <w:rPr>
          <w:rFonts w:cstheme="minorHAnsi"/>
          <w:sz w:val="24"/>
          <w:szCs w:val="24"/>
        </w:rPr>
        <w:t xml:space="preserve"> million for 202</w:t>
      </w:r>
      <w:r w:rsidR="008B30D3">
        <w:rPr>
          <w:rFonts w:cstheme="minorHAnsi"/>
          <w:sz w:val="24"/>
          <w:szCs w:val="24"/>
        </w:rPr>
        <w:t>4</w:t>
      </w:r>
      <w:r w:rsidR="006E0AF8" w:rsidRPr="00573DEE">
        <w:rPr>
          <w:rFonts w:cstheme="minorHAnsi"/>
          <w:sz w:val="24"/>
          <w:szCs w:val="24"/>
        </w:rPr>
        <w:t>.  Credit unions are exempt from the HMDA reporting requirements if they have assets below this threshold.</w:t>
      </w:r>
      <w:r w:rsidR="00390164">
        <w:rPr>
          <w:rFonts w:cstheme="minorHAnsi"/>
          <w:sz w:val="24"/>
          <w:szCs w:val="24"/>
        </w:rPr>
        <w:t xml:space="preserve">  </w:t>
      </w:r>
      <w:r w:rsidR="007F3C46">
        <w:rPr>
          <w:rFonts w:cstheme="minorHAnsi"/>
          <w:sz w:val="24"/>
          <w:szCs w:val="24"/>
        </w:rPr>
        <w:br/>
      </w:r>
    </w:p>
    <w:p w14:paraId="4D75F7F7" w14:textId="7A9D9EEA" w:rsidR="00F00966" w:rsidRDefault="007C44D6" w:rsidP="006E0AF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hyperlink r:id="rId12" w:history="1">
        <w:r w:rsidR="00F00966" w:rsidRPr="00573DEE">
          <w:rPr>
            <w:rStyle w:val="Hyperlink"/>
            <w:rFonts w:cstheme="minorHAnsi"/>
            <w:sz w:val="24"/>
            <w:szCs w:val="24"/>
          </w:rPr>
          <w:t>Regulation D – Reserve Requirements of Depository Institutions</w:t>
        </w:r>
      </w:hyperlink>
      <w:r w:rsidR="00F00966" w:rsidRPr="00573DEE">
        <w:rPr>
          <w:rFonts w:cstheme="minorHAnsi"/>
          <w:sz w:val="24"/>
          <w:szCs w:val="24"/>
        </w:rPr>
        <w:t xml:space="preserve"> have been updated for 202</w:t>
      </w:r>
      <w:r w:rsidR="00C9036B">
        <w:rPr>
          <w:rFonts w:cstheme="minorHAnsi"/>
          <w:sz w:val="24"/>
          <w:szCs w:val="24"/>
        </w:rPr>
        <w:t>4</w:t>
      </w:r>
      <w:r w:rsidR="00F00966" w:rsidRPr="00573DEE">
        <w:rPr>
          <w:rFonts w:cstheme="minorHAnsi"/>
          <w:sz w:val="24"/>
          <w:szCs w:val="24"/>
        </w:rPr>
        <w:t>, even though the reserve ratios are still set at zero.</w:t>
      </w:r>
    </w:p>
    <w:p w14:paraId="0C8CBACD" w14:textId="30F685BF" w:rsidR="00EF78C6" w:rsidRDefault="008D543A" w:rsidP="00EF78C6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Contained</w:t>
      </w:r>
      <w:r w:rsidR="00EF78C6">
        <w:rPr>
          <w:rFonts w:cstheme="minorHAnsi"/>
          <w:sz w:val="24"/>
          <w:szCs w:val="24"/>
        </w:rPr>
        <w:t xml:space="preserve"> in this update is the </w:t>
      </w:r>
      <w:r w:rsidR="00E55C3E">
        <w:rPr>
          <w:rFonts w:cstheme="minorHAnsi"/>
          <w:sz w:val="24"/>
          <w:szCs w:val="24"/>
        </w:rPr>
        <w:t xml:space="preserve">creation of model procedures for reconsiderations of value.  These were driven by the </w:t>
      </w:r>
      <w:hyperlink r:id="rId13" w:history="1">
        <w:r w:rsidR="00E55C3E" w:rsidRPr="008D543A">
          <w:rPr>
            <w:rStyle w:val="Hyperlink"/>
            <w:rFonts w:cstheme="minorHAnsi"/>
            <w:sz w:val="24"/>
            <w:szCs w:val="24"/>
          </w:rPr>
          <w:t>Interagency Guidance</w:t>
        </w:r>
      </w:hyperlink>
      <w:r w:rsidR="00E55C3E">
        <w:rPr>
          <w:rFonts w:cstheme="minorHAnsi"/>
          <w:sz w:val="24"/>
          <w:szCs w:val="24"/>
        </w:rPr>
        <w:t xml:space="preserve"> published by the </w:t>
      </w:r>
      <w:r>
        <w:rPr>
          <w:rFonts w:cstheme="minorHAnsi"/>
          <w:sz w:val="24"/>
          <w:szCs w:val="24"/>
        </w:rPr>
        <w:t>A</w:t>
      </w:r>
      <w:r w:rsidR="00E55C3E">
        <w:rPr>
          <w:rFonts w:cstheme="minorHAnsi"/>
          <w:sz w:val="24"/>
          <w:szCs w:val="24"/>
        </w:rPr>
        <w:t>gencies</w:t>
      </w:r>
      <w:r>
        <w:rPr>
          <w:rFonts w:cstheme="minorHAnsi"/>
          <w:sz w:val="24"/>
          <w:szCs w:val="24"/>
        </w:rPr>
        <w:t xml:space="preserve"> (including the NCUA).  The Fair Lending policy was also updated to reference corresponding model procedures.</w:t>
      </w:r>
    </w:p>
    <w:p w14:paraId="088321AC" w14:textId="3CB1CB22" w:rsidR="008D543A" w:rsidRDefault="0093597C" w:rsidP="00EF78C6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Also contained i</w:t>
      </w:r>
      <w:r w:rsidR="00703E73">
        <w:rPr>
          <w:rFonts w:cstheme="minorHAnsi"/>
          <w:sz w:val="24"/>
          <w:szCs w:val="24"/>
        </w:rPr>
        <w:t>n this update are procedures and corresponding update</w:t>
      </w:r>
      <w:r>
        <w:rPr>
          <w:rFonts w:cstheme="minorHAnsi"/>
          <w:sz w:val="24"/>
          <w:szCs w:val="24"/>
        </w:rPr>
        <w:t xml:space="preserve">s </w:t>
      </w:r>
      <w:r w:rsidR="008A28F2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>the long-awaited FinCEN “</w:t>
      </w:r>
      <w:hyperlink r:id="rId14" w:history="1">
        <w:r w:rsidRPr="0037669B">
          <w:rPr>
            <w:rStyle w:val="Hyperlink"/>
            <w:rFonts w:cstheme="minorHAnsi"/>
            <w:sz w:val="24"/>
            <w:szCs w:val="24"/>
          </w:rPr>
          <w:t>Access Rule</w:t>
        </w:r>
      </w:hyperlink>
      <w:r>
        <w:rPr>
          <w:rFonts w:cstheme="minorHAnsi"/>
          <w:sz w:val="24"/>
          <w:szCs w:val="24"/>
        </w:rPr>
        <w:t xml:space="preserve">” for credit unions to access </w:t>
      </w:r>
      <w:r w:rsidR="0037669B">
        <w:rPr>
          <w:rFonts w:cstheme="minorHAnsi"/>
          <w:sz w:val="24"/>
          <w:szCs w:val="24"/>
        </w:rPr>
        <w:t>the newly created</w:t>
      </w:r>
      <w:r>
        <w:rPr>
          <w:rFonts w:cstheme="minorHAnsi"/>
          <w:sz w:val="24"/>
          <w:szCs w:val="24"/>
        </w:rPr>
        <w:t xml:space="preserve"> database for </w:t>
      </w:r>
      <w:r w:rsidR="0037669B">
        <w:rPr>
          <w:rFonts w:cstheme="minorHAnsi"/>
          <w:sz w:val="24"/>
          <w:szCs w:val="24"/>
        </w:rPr>
        <w:t>beneficial ownership information for legal entities</w:t>
      </w:r>
      <w:r w:rsidR="008A28F2">
        <w:rPr>
          <w:rFonts w:cstheme="minorHAnsi"/>
          <w:sz w:val="24"/>
          <w:szCs w:val="24"/>
        </w:rPr>
        <w:t>, which was just published on December 21</w:t>
      </w:r>
      <w:r w:rsidR="008A28F2" w:rsidRPr="008A28F2">
        <w:rPr>
          <w:rFonts w:cstheme="minorHAnsi"/>
          <w:sz w:val="24"/>
          <w:szCs w:val="24"/>
          <w:vertAlign w:val="superscript"/>
        </w:rPr>
        <w:t>st</w:t>
      </w:r>
      <w:r w:rsidR="008A28F2">
        <w:rPr>
          <w:rFonts w:cstheme="minorHAnsi"/>
          <w:sz w:val="24"/>
          <w:szCs w:val="24"/>
        </w:rPr>
        <w:t xml:space="preserve"> and becomes effective on February 20, 2024.</w:t>
      </w:r>
      <w:r w:rsidR="00703E73">
        <w:rPr>
          <w:rFonts w:cstheme="minorHAnsi"/>
          <w:sz w:val="24"/>
          <w:szCs w:val="24"/>
        </w:rPr>
        <w:t xml:space="preserve">  </w:t>
      </w:r>
    </w:p>
    <w:p w14:paraId="1AB4622C" w14:textId="35BD8B0F" w:rsidR="004F254A" w:rsidRPr="00EF78C6" w:rsidRDefault="004F254A" w:rsidP="00EF78C6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update also includes </w:t>
      </w:r>
      <w:r w:rsidR="00264AF8">
        <w:rPr>
          <w:rFonts w:cstheme="minorHAnsi"/>
          <w:sz w:val="24"/>
          <w:szCs w:val="24"/>
        </w:rPr>
        <w:t xml:space="preserve">updates based on the </w:t>
      </w:r>
      <w:hyperlink r:id="rId15" w:history="1">
        <w:r w:rsidR="00264AF8" w:rsidRPr="00264AF8">
          <w:rPr>
            <w:rStyle w:val="Hyperlink"/>
            <w:rFonts w:cstheme="minorHAnsi"/>
            <w:sz w:val="24"/>
            <w:szCs w:val="24"/>
          </w:rPr>
          <w:t>NCUA’s final rule</w:t>
        </w:r>
      </w:hyperlink>
      <w:r w:rsidR="00264AF8">
        <w:rPr>
          <w:rFonts w:cstheme="minorHAnsi"/>
          <w:sz w:val="24"/>
          <w:szCs w:val="24"/>
        </w:rPr>
        <w:t xml:space="preserve"> related to charitable donation accounts, </w:t>
      </w:r>
    </w:p>
    <w:p w14:paraId="48C93E6A" w14:textId="77777777" w:rsidR="0079652D" w:rsidRDefault="0079652D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F7DDEE7" w14:textId="73575E35" w:rsidR="003F5D16" w:rsidRPr="00B20A27" w:rsidRDefault="003F5D16" w:rsidP="003F5D1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20A27">
        <w:rPr>
          <w:rFonts w:cstheme="minorHAnsi"/>
          <w:b/>
          <w:sz w:val="24"/>
          <w:szCs w:val="24"/>
          <w:u w:val="single"/>
        </w:rPr>
        <w:t xml:space="preserve">Policy 2110 </w:t>
      </w:r>
      <w:r w:rsidR="003B0A87" w:rsidRPr="00B20A27">
        <w:rPr>
          <w:rFonts w:cstheme="minorHAnsi"/>
          <w:b/>
          <w:sz w:val="24"/>
          <w:szCs w:val="24"/>
          <w:u w:val="single"/>
        </w:rPr>
        <w:t>–</w:t>
      </w:r>
      <w:r w:rsidRPr="00B20A27">
        <w:rPr>
          <w:rFonts w:cstheme="minorHAnsi"/>
          <w:b/>
          <w:sz w:val="24"/>
          <w:szCs w:val="24"/>
          <w:u w:val="single"/>
        </w:rPr>
        <w:t xml:space="preserve"> </w:t>
      </w:r>
      <w:r w:rsidR="003B0A87" w:rsidRPr="00B20A27">
        <w:rPr>
          <w:rFonts w:cstheme="minorHAnsi"/>
          <w:b/>
          <w:sz w:val="24"/>
          <w:szCs w:val="24"/>
          <w:u w:val="single"/>
        </w:rPr>
        <w:t>Bank Secrecy Act / Anti-Money Laundering Program</w:t>
      </w:r>
    </w:p>
    <w:p w14:paraId="6ADD0687" w14:textId="77777777" w:rsidR="003F5D16" w:rsidRPr="00B20A27" w:rsidRDefault="003F5D16" w:rsidP="003F5D1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20A27">
        <w:rPr>
          <w:rFonts w:cstheme="minorHAnsi"/>
          <w:b/>
          <w:sz w:val="24"/>
          <w:szCs w:val="24"/>
          <w:u w:val="single"/>
        </w:rPr>
        <w:t>2024-1</w:t>
      </w:r>
    </w:p>
    <w:p w14:paraId="08AA7CAE" w14:textId="27B74C34" w:rsidR="003F5D16" w:rsidRPr="00B20A27" w:rsidRDefault="003F5D16" w:rsidP="003F5D1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20A27">
        <w:rPr>
          <w:rFonts w:cstheme="minorHAnsi"/>
        </w:rPr>
        <w:t>This policy was update</w:t>
      </w:r>
      <w:r w:rsidR="00F04A28" w:rsidRPr="00B20A27">
        <w:rPr>
          <w:rFonts w:cstheme="minorHAnsi"/>
        </w:rPr>
        <w:t>d</w:t>
      </w:r>
      <w:r w:rsidRPr="00B20A27">
        <w:rPr>
          <w:rFonts w:cstheme="minorHAnsi"/>
        </w:rPr>
        <w:t xml:space="preserve"> to </w:t>
      </w:r>
      <w:r w:rsidR="003B0A87" w:rsidRPr="00B20A27">
        <w:rPr>
          <w:rFonts w:cstheme="minorHAnsi"/>
        </w:rPr>
        <w:t xml:space="preserve">include information on </w:t>
      </w:r>
      <w:r w:rsidR="00944199" w:rsidRPr="00B20A27">
        <w:rPr>
          <w:rFonts w:cstheme="minorHAnsi"/>
        </w:rPr>
        <w:t>the potential use of FinCEN’s beneficial ownership information (BOI) database within the final Access Rule.  Credit unions should also use the corresponding procedures</w:t>
      </w:r>
      <w:r w:rsidR="00BE7DC3" w:rsidRPr="00B20A27">
        <w:rPr>
          <w:rFonts w:cstheme="minorHAnsi"/>
        </w:rPr>
        <w:t xml:space="preserve"> (2110.20) if they are planning to access the database.  </w:t>
      </w:r>
      <w:r w:rsidRPr="00B20A27">
        <w:rPr>
          <w:rFonts w:cstheme="minorHAnsi"/>
          <w:b/>
          <w:color w:val="FF0000"/>
        </w:rPr>
        <w:t>(Recommended)</w:t>
      </w:r>
    </w:p>
    <w:p w14:paraId="54D01C65" w14:textId="77777777" w:rsidR="003E2EB0" w:rsidRPr="00B20A27" w:rsidRDefault="003E2EB0" w:rsidP="00FA5AA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FAE0E13" w14:textId="2764D217" w:rsidR="003E2EB0" w:rsidRPr="00B20A27" w:rsidRDefault="003E2EB0" w:rsidP="00FA5AAD">
      <w:pPr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B20A27">
        <w:rPr>
          <w:rFonts w:cstheme="minorHAnsi"/>
          <w:b/>
          <w:color w:val="FF0000"/>
          <w:sz w:val="24"/>
          <w:szCs w:val="24"/>
          <w:u w:val="single"/>
        </w:rPr>
        <w:t>211</w:t>
      </w:r>
      <w:r w:rsidR="00301289" w:rsidRPr="00B20A27">
        <w:rPr>
          <w:rFonts w:cstheme="minorHAnsi"/>
          <w:b/>
          <w:color w:val="FF0000"/>
          <w:sz w:val="24"/>
          <w:szCs w:val="24"/>
          <w:u w:val="single"/>
        </w:rPr>
        <w:t xml:space="preserve">0.20 – Beneficial Ownership Information Access Procedures **NEW </w:t>
      </w:r>
      <w:r w:rsidR="00A64019" w:rsidRPr="00B20A27">
        <w:rPr>
          <w:rFonts w:cstheme="minorHAnsi"/>
          <w:b/>
          <w:color w:val="FF0000"/>
          <w:sz w:val="24"/>
          <w:szCs w:val="24"/>
          <w:u w:val="single"/>
        </w:rPr>
        <w:t>PROCEDURE</w:t>
      </w:r>
      <w:r w:rsidR="00301289" w:rsidRPr="00B20A27">
        <w:rPr>
          <w:rFonts w:cstheme="minorHAnsi"/>
          <w:b/>
          <w:color w:val="FF0000"/>
          <w:sz w:val="24"/>
          <w:szCs w:val="24"/>
          <w:u w:val="single"/>
        </w:rPr>
        <w:t>**</w:t>
      </w:r>
    </w:p>
    <w:p w14:paraId="28A1B142" w14:textId="09BFBAB8" w:rsidR="00301289" w:rsidRPr="00B20A27" w:rsidRDefault="00301289" w:rsidP="00FA5AAD">
      <w:pPr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B20A27">
        <w:rPr>
          <w:rFonts w:cstheme="minorHAnsi"/>
          <w:b/>
          <w:color w:val="FF0000"/>
          <w:sz w:val="24"/>
          <w:szCs w:val="24"/>
          <w:u w:val="single"/>
        </w:rPr>
        <w:t>2024-1</w:t>
      </w:r>
    </w:p>
    <w:p w14:paraId="1ACAB1E5" w14:textId="685654D6" w:rsidR="00301289" w:rsidRPr="00B20A27" w:rsidRDefault="00301289" w:rsidP="00FA5AA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20A27">
        <w:rPr>
          <w:rFonts w:cstheme="minorHAnsi"/>
        </w:rPr>
        <w:t xml:space="preserve">This procedure was created to comply with the </w:t>
      </w:r>
      <w:r w:rsidR="00DF4C7D" w:rsidRPr="00B20A27">
        <w:rPr>
          <w:rFonts w:cstheme="minorHAnsi"/>
        </w:rPr>
        <w:t>new FinCEN “</w:t>
      </w:r>
      <w:hyperlink r:id="rId16" w:history="1">
        <w:r w:rsidR="00DF4C7D" w:rsidRPr="00B20A27">
          <w:rPr>
            <w:rStyle w:val="Hyperlink"/>
            <w:rFonts w:cstheme="minorHAnsi"/>
          </w:rPr>
          <w:t>Access Rule</w:t>
        </w:r>
      </w:hyperlink>
      <w:r w:rsidR="00DF4C7D" w:rsidRPr="00B20A27">
        <w:rPr>
          <w:rFonts w:cstheme="minorHAnsi"/>
        </w:rPr>
        <w:t>” for beneficial ownership information.  The effective date is February 20, 2024.</w:t>
      </w:r>
      <w:r w:rsidRPr="00B20A27">
        <w:rPr>
          <w:rFonts w:cstheme="minorHAnsi"/>
        </w:rPr>
        <w:t xml:space="preserve"> </w:t>
      </w:r>
      <w:r w:rsidRPr="00B20A27">
        <w:rPr>
          <w:rFonts w:cstheme="minorHAnsi"/>
          <w:b/>
          <w:color w:val="FF0000"/>
        </w:rPr>
        <w:t>(Recommended)</w:t>
      </w:r>
    </w:p>
    <w:p w14:paraId="34034CD2" w14:textId="77777777" w:rsidR="003E2EB0" w:rsidRPr="00B20A27" w:rsidRDefault="003E2EB0" w:rsidP="00FA5AA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E0C5D92" w14:textId="4EDE429B" w:rsidR="00FA5AAD" w:rsidRPr="00573DEE" w:rsidRDefault="0004603A" w:rsidP="00FA5AA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20A27">
        <w:rPr>
          <w:rFonts w:cstheme="minorHAnsi"/>
          <w:b/>
          <w:sz w:val="24"/>
          <w:szCs w:val="24"/>
          <w:u w:val="single"/>
        </w:rPr>
        <w:t>Policy 2145 – Office of Foreign Assets Control</w:t>
      </w:r>
    </w:p>
    <w:p w14:paraId="697B4C89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361A2AB3" w14:textId="00242F81" w:rsidR="00FA5AAD" w:rsidRPr="00573DEE" w:rsidRDefault="0004603A" w:rsidP="00FA5AAD">
      <w:pPr>
        <w:pStyle w:val="Default"/>
        <w:rPr>
          <w:rFonts w:cstheme="minorHAnsi"/>
          <w:b/>
          <w:color w:val="FF0000"/>
        </w:rPr>
      </w:pPr>
      <w:r>
        <w:rPr>
          <w:rFonts w:asciiTheme="minorHAnsi" w:hAnsiTheme="minorHAnsi" w:cstheme="minorHAnsi"/>
          <w:color w:val="auto"/>
        </w:rPr>
        <w:t>This policy was update</w:t>
      </w:r>
      <w:r w:rsidR="00A52080">
        <w:rPr>
          <w:rFonts w:asciiTheme="minorHAnsi" w:hAnsiTheme="minorHAnsi" w:cstheme="minorHAnsi"/>
          <w:color w:val="auto"/>
        </w:rPr>
        <w:t>d</w:t>
      </w:r>
      <w:r>
        <w:rPr>
          <w:rFonts w:asciiTheme="minorHAnsi" w:hAnsiTheme="minorHAnsi" w:cstheme="minorHAnsi"/>
          <w:color w:val="auto"/>
        </w:rPr>
        <w:t xml:space="preserve"> to provide </w:t>
      </w:r>
      <w:r w:rsidR="001A33E1">
        <w:rPr>
          <w:rFonts w:asciiTheme="minorHAnsi" w:hAnsiTheme="minorHAnsi" w:cstheme="minorHAnsi"/>
          <w:color w:val="auto"/>
        </w:rPr>
        <w:t xml:space="preserve">additional context to the components of an </w:t>
      </w:r>
      <w:r w:rsidR="002116FE">
        <w:rPr>
          <w:rFonts w:asciiTheme="minorHAnsi" w:hAnsiTheme="minorHAnsi" w:cstheme="minorHAnsi"/>
          <w:color w:val="auto"/>
        </w:rPr>
        <w:t>effective</w:t>
      </w:r>
      <w:r w:rsidR="001A33E1">
        <w:rPr>
          <w:rFonts w:asciiTheme="minorHAnsi" w:hAnsiTheme="minorHAnsi" w:cstheme="minorHAnsi"/>
          <w:color w:val="auto"/>
        </w:rPr>
        <w:t xml:space="preserve"> </w:t>
      </w:r>
      <w:r w:rsidR="002116FE">
        <w:rPr>
          <w:rFonts w:asciiTheme="minorHAnsi" w:hAnsiTheme="minorHAnsi" w:cstheme="minorHAnsi"/>
          <w:color w:val="auto"/>
        </w:rPr>
        <w:t>OFAC Sanctions Compliance Program.</w:t>
      </w:r>
      <w:r w:rsidR="00FA5AAD" w:rsidRPr="00573DEE">
        <w:rPr>
          <w:rFonts w:asciiTheme="minorHAnsi" w:hAnsiTheme="minorHAnsi" w:cstheme="minorHAnsi"/>
          <w:color w:val="auto"/>
        </w:rPr>
        <w:t xml:space="preserve"> </w:t>
      </w:r>
      <w:r w:rsidR="00FA5AAD" w:rsidRPr="00573DEE">
        <w:rPr>
          <w:rFonts w:asciiTheme="minorHAnsi" w:hAnsiTheme="minorHAnsi" w:cstheme="minorHAnsi"/>
          <w:b/>
          <w:color w:val="FF0000"/>
        </w:rPr>
        <w:t>(Re</w:t>
      </w:r>
      <w:r w:rsidR="002116FE">
        <w:rPr>
          <w:rFonts w:asciiTheme="minorHAnsi" w:hAnsiTheme="minorHAnsi" w:cstheme="minorHAnsi"/>
          <w:b/>
          <w:color w:val="FF0000"/>
        </w:rPr>
        <w:t>commended</w:t>
      </w:r>
      <w:r w:rsidR="00FA5AAD" w:rsidRPr="00573DEE">
        <w:rPr>
          <w:rFonts w:asciiTheme="minorHAnsi" w:hAnsiTheme="minorHAnsi" w:cstheme="minorHAnsi"/>
          <w:b/>
          <w:color w:val="FF0000"/>
        </w:rPr>
        <w:t>)</w:t>
      </w:r>
      <w:r w:rsidR="00FA5AAD" w:rsidRPr="00573DEE">
        <w:rPr>
          <w:rFonts w:cstheme="minorHAnsi"/>
          <w:b/>
          <w:color w:val="FF0000"/>
        </w:rPr>
        <w:br/>
      </w:r>
    </w:p>
    <w:p w14:paraId="19D17D95" w14:textId="0EBAA479" w:rsidR="0079652D" w:rsidRPr="00573DEE" w:rsidRDefault="0079652D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221</w:t>
      </w:r>
      <w:r w:rsidR="00F65EB9">
        <w:rPr>
          <w:rFonts w:cstheme="minorHAnsi"/>
          <w:b/>
          <w:sz w:val="24"/>
          <w:szCs w:val="24"/>
          <w:u w:val="single"/>
        </w:rPr>
        <w:t>0.14</w:t>
      </w:r>
      <w:r w:rsidRPr="00573DEE">
        <w:rPr>
          <w:rFonts w:cstheme="minorHAnsi"/>
          <w:b/>
          <w:sz w:val="24"/>
          <w:szCs w:val="24"/>
          <w:u w:val="single"/>
        </w:rPr>
        <w:t xml:space="preserve"> – Health Savings Accounts</w:t>
      </w:r>
    </w:p>
    <w:p w14:paraId="1E9DA8E3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7B06EF28" w14:textId="63A7DACC" w:rsidR="0079652D" w:rsidRPr="00573DEE" w:rsidRDefault="0079652D" w:rsidP="00420A41">
      <w:pPr>
        <w:pStyle w:val="Default"/>
        <w:rPr>
          <w:rFonts w:cstheme="minorHAnsi"/>
          <w:b/>
          <w:color w:val="FF0000"/>
        </w:rPr>
      </w:pPr>
      <w:r w:rsidRPr="00573DEE">
        <w:rPr>
          <w:rFonts w:asciiTheme="minorHAnsi" w:hAnsiTheme="minorHAnsi" w:cstheme="minorHAnsi"/>
          <w:color w:val="auto"/>
        </w:rPr>
        <w:t xml:space="preserve">Each year the </w:t>
      </w:r>
      <w:hyperlink r:id="rId17" w:history="1">
        <w:r w:rsidRPr="00573DEE">
          <w:rPr>
            <w:rStyle w:val="Hyperlink"/>
            <w:rFonts w:asciiTheme="minorHAnsi" w:hAnsiTheme="minorHAnsi" w:cstheme="minorHAnsi"/>
          </w:rPr>
          <w:t>IRS changes</w:t>
        </w:r>
      </w:hyperlink>
      <w:r w:rsidRPr="00573DEE">
        <w:rPr>
          <w:rFonts w:asciiTheme="minorHAnsi" w:hAnsiTheme="minorHAnsi" w:cstheme="minorHAnsi"/>
          <w:color w:val="auto"/>
        </w:rPr>
        <w:t xml:space="preserve"> the contribution limits that can be made to health savings accounts for both individual and family plans.  Those changes for 202</w:t>
      </w:r>
      <w:r w:rsidR="00D362A7">
        <w:rPr>
          <w:rFonts w:asciiTheme="minorHAnsi" w:hAnsiTheme="minorHAnsi" w:cstheme="minorHAnsi"/>
          <w:color w:val="auto"/>
        </w:rPr>
        <w:t>4</w:t>
      </w:r>
      <w:r w:rsidRPr="00573DEE">
        <w:rPr>
          <w:rFonts w:asciiTheme="minorHAnsi" w:hAnsiTheme="minorHAnsi" w:cstheme="minorHAnsi"/>
          <w:color w:val="auto"/>
        </w:rPr>
        <w:t xml:space="preserve"> are reflected in the revisions.</w:t>
      </w:r>
      <w:r w:rsidR="00420A41" w:rsidRPr="00573DEE">
        <w:rPr>
          <w:rFonts w:asciiTheme="minorHAnsi" w:hAnsiTheme="minorHAnsi" w:cstheme="minorHAnsi"/>
          <w:color w:val="auto"/>
        </w:rPr>
        <w:t xml:space="preserve"> </w:t>
      </w:r>
      <w:r w:rsidRPr="00573DEE">
        <w:rPr>
          <w:rFonts w:asciiTheme="minorHAnsi" w:hAnsiTheme="minorHAnsi" w:cstheme="minorHAnsi"/>
          <w:b/>
          <w:color w:val="FF0000"/>
        </w:rPr>
        <w:t>(Re</w:t>
      </w:r>
      <w:r w:rsidR="00157106" w:rsidRPr="00573DEE">
        <w:rPr>
          <w:rFonts w:asciiTheme="minorHAnsi" w:hAnsiTheme="minorHAnsi" w:cstheme="minorHAnsi"/>
          <w:b/>
          <w:color w:val="FF0000"/>
        </w:rPr>
        <w:t>quired</w:t>
      </w:r>
      <w:r w:rsidRPr="00573DEE">
        <w:rPr>
          <w:rFonts w:asciiTheme="minorHAnsi" w:hAnsiTheme="minorHAnsi" w:cstheme="minorHAnsi"/>
          <w:b/>
          <w:color w:val="FF0000"/>
        </w:rPr>
        <w:t>)</w:t>
      </w:r>
      <w:r w:rsidR="008F764C" w:rsidRPr="00573DEE">
        <w:rPr>
          <w:rFonts w:cstheme="minorHAnsi"/>
          <w:b/>
          <w:color w:val="FF0000"/>
        </w:rPr>
        <w:br/>
      </w:r>
    </w:p>
    <w:p w14:paraId="4C8E5A34" w14:textId="5DAFEEC7" w:rsidR="00066902" w:rsidRDefault="00066902" w:rsidP="0006690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Policy 2400 – Funds Availability</w:t>
      </w:r>
    </w:p>
    <w:p w14:paraId="0C274DE4" w14:textId="77777777" w:rsidR="00066902" w:rsidRDefault="00066902" w:rsidP="0006690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5AE3E4DD" w14:textId="0CEF86B9" w:rsidR="00066902" w:rsidRPr="00A25378" w:rsidRDefault="00066902" w:rsidP="00066902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policy was </w:t>
      </w:r>
      <w:r w:rsidR="00C335ED">
        <w:rPr>
          <w:rFonts w:cstheme="minorHAnsi"/>
          <w:bCs/>
          <w:sz w:val="24"/>
          <w:szCs w:val="24"/>
        </w:rPr>
        <w:t>reviewed and updated to be more modernized, consistent</w:t>
      </w:r>
      <w:r w:rsidR="00432CF4">
        <w:rPr>
          <w:rFonts w:cstheme="minorHAnsi"/>
          <w:bCs/>
          <w:sz w:val="24"/>
          <w:szCs w:val="24"/>
        </w:rPr>
        <w:t>,</w:t>
      </w:r>
      <w:r w:rsidR="00C335ED">
        <w:rPr>
          <w:rFonts w:cstheme="minorHAnsi"/>
          <w:bCs/>
          <w:sz w:val="24"/>
          <w:szCs w:val="24"/>
        </w:rPr>
        <w:t xml:space="preserve"> and easier to read.  </w:t>
      </w:r>
      <w:r w:rsidR="00C335ED" w:rsidRPr="00573DEE">
        <w:rPr>
          <w:rFonts w:cstheme="minorHAnsi"/>
          <w:b/>
          <w:color w:val="FF0000"/>
        </w:rPr>
        <w:t>(Re</w:t>
      </w:r>
      <w:r w:rsidR="00C335ED">
        <w:rPr>
          <w:rFonts w:cstheme="minorHAnsi"/>
          <w:b/>
          <w:color w:val="FF0000"/>
        </w:rPr>
        <w:t>commended</w:t>
      </w:r>
      <w:r w:rsidR="00C335ED" w:rsidRPr="00573DEE">
        <w:rPr>
          <w:rFonts w:cstheme="minorHAnsi"/>
          <w:b/>
          <w:color w:val="FF0000"/>
        </w:rPr>
        <w:t>)</w:t>
      </w:r>
    </w:p>
    <w:p w14:paraId="0C3AC193" w14:textId="3FBD86AC" w:rsidR="00E92789" w:rsidRDefault="00E92789" w:rsidP="00DA0CC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EC20F03" w14:textId="77777777" w:rsidR="009254E3" w:rsidRDefault="009254E3" w:rsidP="00327A1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7249D65" w14:textId="50545808" w:rsidR="0085079D" w:rsidRDefault="0085079D" w:rsidP="00327A1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Policy 6300 – Charitable Donation Accounts</w:t>
      </w:r>
    </w:p>
    <w:p w14:paraId="484D7AF8" w14:textId="2660D272" w:rsidR="0085079D" w:rsidRDefault="0085079D" w:rsidP="00327A1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720D41A5" w14:textId="79C37866" w:rsidR="0085079D" w:rsidRPr="00A25378" w:rsidRDefault="0085079D" w:rsidP="0085079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policy was updated to reflect </w:t>
      </w:r>
      <w:r w:rsidR="009F31FF">
        <w:rPr>
          <w:rFonts w:cstheme="minorHAnsi"/>
          <w:bCs/>
          <w:sz w:val="24"/>
          <w:szCs w:val="24"/>
        </w:rPr>
        <w:t>the addition of</w:t>
      </w:r>
      <w:r w:rsidR="006D6E4B">
        <w:rPr>
          <w:rFonts w:cstheme="minorHAnsi"/>
          <w:bCs/>
          <w:sz w:val="24"/>
          <w:szCs w:val="24"/>
        </w:rPr>
        <w:t xml:space="preserve"> a non-profit entity recognized as exempt from taxation under</w:t>
      </w:r>
      <w:r w:rsidR="009F31FF">
        <w:rPr>
          <w:rFonts w:cstheme="minorHAnsi"/>
          <w:bCs/>
          <w:sz w:val="24"/>
          <w:szCs w:val="24"/>
        </w:rPr>
        <w:t xml:space="preserve"> </w:t>
      </w:r>
      <w:r w:rsidR="00E067CA">
        <w:rPr>
          <w:rFonts w:cstheme="minorHAnsi"/>
          <w:bCs/>
          <w:sz w:val="24"/>
          <w:szCs w:val="24"/>
        </w:rPr>
        <w:t xml:space="preserve">501(c)(19) </w:t>
      </w:r>
      <w:r w:rsidR="00B67E05">
        <w:rPr>
          <w:rFonts w:cstheme="minorHAnsi"/>
          <w:bCs/>
          <w:sz w:val="24"/>
          <w:szCs w:val="24"/>
        </w:rPr>
        <w:t xml:space="preserve">as a </w:t>
      </w:r>
      <w:hyperlink r:id="rId18" w:history="1">
        <w:r w:rsidR="00B67E05" w:rsidRPr="004F254A">
          <w:rPr>
            <w:rStyle w:val="Hyperlink"/>
            <w:rFonts w:cstheme="minorHAnsi"/>
            <w:bCs/>
            <w:sz w:val="24"/>
            <w:szCs w:val="24"/>
          </w:rPr>
          <w:t>qualified charity</w:t>
        </w:r>
      </w:hyperlink>
      <w:r w:rsidR="008F27B7">
        <w:rPr>
          <w:rFonts w:cstheme="minorHAnsi"/>
          <w:bCs/>
          <w:sz w:val="24"/>
          <w:szCs w:val="24"/>
        </w:rPr>
        <w:t xml:space="preserve"> that a credit union may contribute using a charitable donation account.</w:t>
      </w:r>
      <w:r w:rsidR="006D6E4B">
        <w:rPr>
          <w:rFonts w:cstheme="minorHAnsi"/>
          <w:bCs/>
          <w:sz w:val="24"/>
          <w:szCs w:val="24"/>
        </w:rPr>
        <w:t xml:space="preserve"> </w:t>
      </w:r>
      <w:r w:rsidR="006D6E4B" w:rsidRPr="00573DEE">
        <w:rPr>
          <w:rFonts w:cstheme="minorHAnsi"/>
          <w:b/>
          <w:color w:val="FF0000"/>
        </w:rPr>
        <w:t>(Re</w:t>
      </w:r>
      <w:r w:rsidR="006D6E4B">
        <w:rPr>
          <w:rFonts w:cstheme="minorHAnsi"/>
          <w:b/>
          <w:color w:val="FF0000"/>
        </w:rPr>
        <w:t>commended</w:t>
      </w:r>
      <w:r w:rsidR="006D6E4B" w:rsidRPr="00573DEE">
        <w:rPr>
          <w:rFonts w:cstheme="minorHAnsi"/>
          <w:b/>
          <w:color w:val="FF0000"/>
        </w:rPr>
        <w:t>)</w:t>
      </w:r>
    </w:p>
    <w:p w14:paraId="2D0FD75F" w14:textId="77777777" w:rsidR="0085079D" w:rsidRDefault="0085079D" w:rsidP="00327A1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04B1BE1" w14:textId="77777777" w:rsidR="0085079D" w:rsidRDefault="0085079D" w:rsidP="00327A1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7629006" w14:textId="42B6F7BE" w:rsidR="00752A77" w:rsidRDefault="00752A77" w:rsidP="00327A1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Policy 7120 – Fair Lending</w:t>
      </w:r>
    </w:p>
    <w:p w14:paraId="223EB24C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6653CFD7" w14:textId="42F2A730" w:rsidR="00752A77" w:rsidRPr="00A25378" w:rsidRDefault="006B4A17" w:rsidP="00327A13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policy was updated to reflect the </w:t>
      </w:r>
      <w:hyperlink r:id="rId19" w:history="1">
        <w:r w:rsidRPr="002000CC">
          <w:rPr>
            <w:rStyle w:val="Hyperlink"/>
            <w:rFonts w:cstheme="minorHAnsi"/>
            <w:bCs/>
            <w:sz w:val="24"/>
            <w:szCs w:val="24"/>
          </w:rPr>
          <w:t>Joint Statement</w:t>
        </w:r>
      </w:hyperlink>
      <w:r>
        <w:rPr>
          <w:rFonts w:cstheme="minorHAnsi"/>
          <w:bCs/>
          <w:sz w:val="24"/>
          <w:szCs w:val="24"/>
        </w:rPr>
        <w:t xml:space="preserve"> on Fair Lending and Credit Opportunities for Noncitizen Borrowers under the Equal Credit Opportunity Act and </w:t>
      </w:r>
      <w:r w:rsidR="00996609">
        <w:rPr>
          <w:rFonts w:cstheme="minorHAnsi"/>
          <w:bCs/>
          <w:sz w:val="24"/>
          <w:szCs w:val="24"/>
        </w:rPr>
        <w:t xml:space="preserve">the </w:t>
      </w:r>
      <w:hyperlink r:id="rId20" w:history="1">
        <w:r w:rsidR="00996609" w:rsidRPr="005430F7">
          <w:rPr>
            <w:rStyle w:val="Hyperlink"/>
            <w:rFonts w:cstheme="minorHAnsi"/>
            <w:bCs/>
            <w:sz w:val="24"/>
            <w:szCs w:val="24"/>
          </w:rPr>
          <w:t>Interagency Guidance</w:t>
        </w:r>
      </w:hyperlink>
      <w:r w:rsidR="00996609">
        <w:rPr>
          <w:rFonts w:cstheme="minorHAnsi"/>
          <w:bCs/>
          <w:sz w:val="24"/>
          <w:szCs w:val="24"/>
        </w:rPr>
        <w:t xml:space="preserve"> on reconsiderations of value. </w:t>
      </w:r>
      <w:r w:rsidR="00996609" w:rsidRPr="00573DEE">
        <w:rPr>
          <w:rFonts w:cstheme="minorHAnsi"/>
          <w:b/>
          <w:color w:val="FF0000"/>
        </w:rPr>
        <w:t>(Re</w:t>
      </w:r>
      <w:r w:rsidR="00996609">
        <w:rPr>
          <w:rFonts w:cstheme="minorHAnsi"/>
          <w:b/>
          <w:color w:val="FF0000"/>
        </w:rPr>
        <w:t>commended</w:t>
      </w:r>
      <w:r w:rsidR="00996609" w:rsidRPr="00573DEE">
        <w:rPr>
          <w:rFonts w:cstheme="minorHAnsi"/>
          <w:b/>
          <w:color w:val="FF0000"/>
        </w:rPr>
        <w:t>)</w:t>
      </w:r>
    </w:p>
    <w:p w14:paraId="574040D9" w14:textId="77777777" w:rsidR="00752A77" w:rsidRDefault="00752A77" w:rsidP="00327A1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6000F1C" w14:textId="2643F033" w:rsidR="00327A13" w:rsidRPr="00573DEE" w:rsidRDefault="00327A13" w:rsidP="00327A1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Policy 73</w:t>
      </w:r>
      <w:r w:rsidR="007060B5">
        <w:rPr>
          <w:rFonts w:cstheme="minorHAnsi"/>
          <w:b/>
          <w:sz w:val="24"/>
          <w:szCs w:val="24"/>
          <w:u w:val="single"/>
        </w:rPr>
        <w:t>02</w:t>
      </w:r>
      <w:r w:rsidRPr="00573DEE">
        <w:rPr>
          <w:rFonts w:cstheme="minorHAnsi"/>
          <w:b/>
          <w:sz w:val="24"/>
          <w:szCs w:val="24"/>
          <w:u w:val="single"/>
        </w:rPr>
        <w:t xml:space="preserve"> – Residential Real </w:t>
      </w:r>
      <w:r w:rsidR="005A4892">
        <w:rPr>
          <w:rFonts w:cstheme="minorHAnsi"/>
          <w:b/>
          <w:sz w:val="24"/>
          <w:szCs w:val="24"/>
          <w:u w:val="single"/>
        </w:rPr>
        <w:t>Appraisals</w:t>
      </w:r>
    </w:p>
    <w:p w14:paraId="48A0EA90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4C5BAE49" w14:textId="6C659DA5" w:rsidR="00327A13" w:rsidRPr="00573DEE" w:rsidRDefault="00327A13" w:rsidP="00327A1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sz w:val="24"/>
          <w:szCs w:val="24"/>
        </w:rPr>
        <w:t xml:space="preserve">This policy was revised </w:t>
      </w:r>
      <w:r w:rsidR="005A4892">
        <w:rPr>
          <w:rFonts w:cstheme="minorHAnsi"/>
          <w:sz w:val="24"/>
          <w:szCs w:val="24"/>
        </w:rPr>
        <w:t>t</w:t>
      </w:r>
      <w:r w:rsidR="00504D7D">
        <w:rPr>
          <w:rFonts w:cstheme="minorHAnsi"/>
          <w:sz w:val="24"/>
          <w:szCs w:val="24"/>
        </w:rPr>
        <w:t xml:space="preserve">o reflect the </w:t>
      </w:r>
      <w:r w:rsidR="005A4892">
        <w:rPr>
          <w:rFonts w:cstheme="minorHAnsi"/>
          <w:sz w:val="24"/>
          <w:szCs w:val="24"/>
        </w:rPr>
        <w:t>higher</w:t>
      </w:r>
      <w:r w:rsidR="00CC6208">
        <w:rPr>
          <w:rFonts w:cstheme="minorHAnsi"/>
          <w:sz w:val="24"/>
          <w:szCs w:val="24"/>
        </w:rPr>
        <w:t xml:space="preserve"> priced mortgage loan appraisal </w:t>
      </w:r>
      <w:r w:rsidR="00504D7D">
        <w:rPr>
          <w:rFonts w:cstheme="minorHAnsi"/>
          <w:sz w:val="24"/>
          <w:szCs w:val="24"/>
        </w:rPr>
        <w:t xml:space="preserve">exemption threshold.  The </w:t>
      </w:r>
      <w:hyperlink r:id="rId21" w:history="1">
        <w:r w:rsidR="00504D7D" w:rsidRPr="002A6E4E">
          <w:rPr>
            <w:rStyle w:val="Hyperlink"/>
            <w:rFonts w:cstheme="minorHAnsi"/>
            <w:sz w:val="24"/>
            <w:szCs w:val="24"/>
          </w:rPr>
          <w:t>threshold changes each year based on the consumer price index</w:t>
        </w:r>
      </w:hyperlink>
      <w:r w:rsidR="00504D7D">
        <w:rPr>
          <w:rFonts w:cstheme="minorHAnsi"/>
          <w:sz w:val="24"/>
          <w:szCs w:val="24"/>
        </w:rPr>
        <w:t xml:space="preserve"> and increased to $3</w:t>
      </w:r>
      <w:r w:rsidR="005534EE">
        <w:rPr>
          <w:rFonts w:cstheme="minorHAnsi"/>
          <w:sz w:val="24"/>
          <w:szCs w:val="24"/>
        </w:rPr>
        <w:t>2,400</w:t>
      </w:r>
      <w:r w:rsidR="00504D7D">
        <w:rPr>
          <w:rFonts w:cstheme="minorHAnsi"/>
          <w:sz w:val="24"/>
          <w:szCs w:val="24"/>
        </w:rPr>
        <w:t xml:space="preserve"> for 202</w:t>
      </w:r>
      <w:r w:rsidR="005534EE">
        <w:rPr>
          <w:rFonts w:cstheme="minorHAnsi"/>
          <w:sz w:val="24"/>
          <w:szCs w:val="24"/>
        </w:rPr>
        <w:t>4</w:t>
      </w:r>
      <w:r w:rsidRPr="00573DEE">
        <w:rPr>
          <w:rFonts w:cstheme="minorHAnsi"/>
          <w:sz w:val="24"/>
          <w:szCs w:val="24"/>
        </w:rPr>
        <w:t>.</w:t>
      </w:r>
      <w:r w:rsidR="005534EE">
        <w:rPr>
          <w:rFonts w:cstheme="minorHAnsi"/>
          <w:sz w:val="24"/>
          <w:szCs w:val="24"/>
        </w:rPr>
        <w:t xml:space="preserve">  In addition, this policy was updated to reference reconsiderations of value procedures.</w:t>
      </w:r>
      <w:r w:rsidRPr="00573DE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573DEE">
        <w:rPr>
          <w:rFonts w:cstheme="minorHAnsi"/>
          <w:b/>
          <w:bCs/>
          <w:color w:val="FF0000"/>
          <w:sz w:val="24"/>
          <w:szCs w:val="24"/>
        </w:rPr>
        <w:t xml:space="preserve">(Required) </w:t>
      </w:r>
    </w:p>
    <w:p w14:paraId="64E45B95" w14:textId="279A60EF" w:rsidR="00327A13" w:rsidRDefault="00327A13" w:rsidP="00DA0CC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598E82D" w14:textId="61DC8E53" w:rsidR="008F6069" w:rsidRPr="00301289" w:rsidRDefault="008F6069" w:rsidP="00DA0CC3">
      <w:pPr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301289">
        <w:rPr>
          <w:rFonts w:cstheme="minorHAnsi"/>
          <w:b/>
          <w:color w:val="FF0000"/>
          <w:sz w:val="24"/>
          <w:szCs w:val="24"/>
          <w:u w:val="single"/>
        </w:rPr>
        <w:t>7302.10</w:t>
      </w:r>
      <w:r w:rsidR="00746A9B" w:rsidRPr="00301289">
        <w:rPr>
          <w:rFonts w:cstheme="minorHAnsi"/>
          <w:b/>
          <w:color w:val="FF0000"/>
          <w:sz w:val="24"/>
          <w:szCs w:val="24"/>
          <w:u w:val="single"/>
        </w:rPr>
        <w:t xml:space="preserve"> – Reconsideration of Value Procedures **NEW </w:t>
      </w:r>
      <w:r w:rsidR="00DE0DBF">
        <w:rPr>
          <w:rFonts w:cstheme="minorHAnsi"/>
          <w:b/>
          <w:color w:val="FF0000"/>
          <w:sz w:val="24"/>
          <w:szCs w:val="24"/>
          <w:u w:val="single"/>
        </w:rPr>
        <w:t>PROCEDURE</w:t>
      </w:r>
      <w:r w:rsidR="00746A9B" w:rsidRPr="00301289">
        <w:rPr>
          <w:rFonts w:cstheme="minorHAnsi"/>
          <w:b/>
          <w:color w:val="FF0000"/>
          <w:sz w:val="24"/>
          <w:szCs w:val="24"/>
          <w:u w:val="single"/>
        </w:rPr>
        <w:t>**</w:t>
      </w:r>
    </w:p>
    <w:p w14:paraId="2FA76FDA" w14:textId="77777777" w:rsidR="00301289" w:rsidRPr="00A361A8" w:rsidRDefault="00301289" w:rsidP="00301289">
      <w:pPr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A361A8">
        <w:rPr>
          <w:rFonts w:cstheme="minorHAnsi"/>
          <w:b/>
          <w:color w:val="FF0000"/>
          <w:sz w:val="24"/>
          <w:szCs w:val="24"/>
          <w:u w:val="single"/>
        </w:rPr>
        <w:t>2024-1</w:t>
      </w:r>
    </w:p>
    <w:p w14:paraId="6BF875E7" w14:textId="36B536D8" w:rsidR="00D14324" w:rsidRPr="00592E5C" w:rsidRDefault="00E30CC6" w:rsidP="00D14324">
      <w:pPr>
        <w:spacing w:after="0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These model procedures were created to assist Credit Unions </w:t>
      </w:r>
      <w:r w:rsidR="001B5A31">
        <w:rPr>
          <w:rFonts w:cstheme="minorHAnsi"/>
          <w:bCs/>
          <w:sz w:val="24"/>
          <w:szCs w:val="24"/>
        </w:rPr>
        <w:t xml:space="preserve">in compliance with the </w:t>
      </w:r>
      <w:hyperlink r:id="rId22" w:history="1">
        <w:r w:rsidR="001B5A31" w:rsidRPr="00D14324">
          <w:rPr>
            <w:rStyle w:val="Hyperlink"/>
            <w:rFonts w:cstheme="minorHAnsi"/>
            <w:bCs/>
            <w:sz w:val="24"/>
            <w:szCs w:val="24"/>
          </w:rPr>
          <w:t>Interagency Guidance on Reconsideration of Value of Residential Real Estate Valuations.</w:t>
        </w:r>
      </w:hyperlink>
      <w:r w:rsidR="00D14324">
        <w:rPr>
          <w:rFonts w:cstheme="minorHAnsi"/>
          <w:bCs/>
          <w:sz w:val="24"/>
          <w:szCs w:val="24"/>
        </w:rPr>
        <w:t xml:space="preserve">  </w:t>
      </w:r>
      <w:r w:rsidR="00D14324" w:rsidRPr="00573DEE">
        <w:rPr>
          <w:rFonts w:cstheme="minorHAnsi"/>
          <w:b/>
          <w:bCs/>
          <w:color w:val="FF0000"/>
          <w:sz w:val="24"/>
          <w:szCs w:val="24"/>
        </w:rPr>
        <w:t>(Re</w:t>
      </w:r>
      <w:r w:rsidR="00D14324">
        <w:rPr>
          <w:rFonts w:cstheme="minorHAnsi"/>
          <w:b/>
          <w:bCs/>
          <w:color w:val="FF0000"/>
          <w:sz w:val="24"/>
          <w:szCs w:val="24"/>
        </w:rPr>
        <w:t>commended</w:t>
      </w:r>
      <w:r w:rsidR="00D14324"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688589B0" w14:textId="35D0001A" w:rsidR="00327A13" w:rsidRPr="00E30CC6" w:rsidRDefault="00327A13" w:rsidP="00DA0CC3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849C0A0" w14:textId="686DDBE7" w:rsidR="00D54803" w:rsidRPr="00573DEE" w:rsidRDefault="00D54803" w:rsidP="00D5480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Policy 7330 – Residential Real Estate Loans</w:t>
      </w:r>
    </w:p>
    <w:p w14:paraId="0982526F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44B79EBE" w14:textId="3FB0EE73" w:rsidR="00D54803" w:rsidRPr="00573DEE" w:rsidRDefault="00725B88" w:rsidP="00DA0CC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sz w:val="24"/>
          <w:szCs w:val="24"/>
        </w:rPr>
        <w:t xml:space="preserve">This policy was revised to adjust the </w:t>
      </w:r>
      <w:hyperlink r:id="rId23" w:history="1">
        <w:r w:rsidRPr="00573DEE">
          <w:rPr>
            <w:rStyle w:val="Hyperlink"/>
            <w:rFonts w:cstheme="minorHAnsi"/>
            <w:sz w:val="24"/>
            <w:szCs w:val="24"/>
          </w:rPr>
          <w:t>asset-based threshold</w:t>
        </w:r>
      </w:hyperlink>
      <w:r w:rsidRPr="00573DEE">
        <w:rPr>
          <w:rFonts w:cstheme="minorHAnsi"/>
          <w:sz w:val="24"/>
          <w:szCs w:val="24"/>
        </w:rPr>
        <w:t xml:space="preserve"> for determining if a credit union is a small creditor under the rules.</w:t>
      </w:r>
      <w:r w:rsidR="00D9734D">
        <w:rPr>
          <w:rFonts w:cstheme="minorHAnsi"/>
          <w:sz w:val="24"/>
          <w:szCs w:val="24"/>
        </w:rPr>
        <w:t xml:space="preserve">  This threshold has increased over 2023.</w:t>
      </w:r>
      <w:r w:rsidRPr="00573DEE">
        <w:rPr>
          <w:rFonts w:cstheme="minorHAnsi"/>
          <w:sz w:val="24"/>
          <w:szCs w:val="24"/>
        </w:rPr>
        <w:t xml:space="preserve">  </w:t>
      </w:r>
      <w:r w:rsidR="00AA096B">
        <w:rPr>
          <w:rFonts w:cstheme="minorHAnsi"/>
          <w:sz w:val="24"/>
          <w:szCs w:val="24"/>
        </w:rPr>
        <w:t xml:space="preserve"> </w:t>
      </w:r>
      <w:r w:rsidR="00D54803" w:rsidRPr="00573DEE">
        <w:rPr>
          <w:rFonts w:cstheme="minorHAnsi"/>
          <w:b/>
          <w:bCs/>
          <w:color w:val="FF0000"/>
          <w:sz w:val="24"/>
          <w:szCs w:val="24"/>
        </w:rPr>
        <w:t xml:space="preserve">(Required) </w:t>
      </w:r>
    </w:p>
    <w:p w14:paraId="0141E70E" w14:textId="77777777" w:rsidR="00D54803" w:rsidRPr="00573DEE" w:rsidRDefault="00D54803" w:rsidP="00DA0CC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5C87213" w14:textId="5351B963" w:rsidR="00DA0CC3" w:rsidRPr="00573DEE" w:rsidRDefault="00DA0CC3" w:rsidP="00DA0CC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Policy 73</w:t>
      </w:r>
      <w:r w:rsidR="00467B54" w:rsidRPr="00573DEE">
        <w:rPr>
          <w:rFonts w:cstheme="minorHAnsi"/>
          <w:b/>
          <w:sz w:val="24"/>
          <w:szCs w:val="24"/>
          <w:u w:val="single"/>
        </w:rPr>
        <w:t>5</w:t>
      </w:r>
      <w:r w:rsidRPr="00573DEE">
        <w:rPr>
          <w:rFonts w:cstheme="minorHAnsi"/>
          <w:b/>
          <w:sz w:val="24"/>
          <w:szCs w:val="24"/>
          <w:u w:val="single"/>
        </w:rPr>
        <w:t xml:space="preserve">0 – </w:t>
      </w:r>
      <w:r w:rsidR="00A77798" w:rsidRPr="00573DEE">
        <w:rPr>
          <w:rFonts w:cstheme="minorHAnsi"/>
          <w:b/>
          <w:sz w:val="24"/>
          <w:szCs w:val="24"/>
          <w:u w:val="single"/>
        </w:rPr>
        <w:t>Ability to Repay</w:t>
      </w:r>
    </w:p>
    <w:p w14:paraId="44873DC2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430AA6D2" w14:textId="0C7CDD3F" w:rsidR="004B77FF" w:rsidRPr="000742A0" w:rsidRDefault="004B77FF" w:rsidP="004B77FF">
      <w:pPr>
        <w:spacing w:after="0"/>
        <w:rPr>
          <w:rFonts w:cstheme="minorHAnsi"/>
          <w:sz w:val="24"/>
          <w:szCs w:val="24"/>
        </w:rPr>
      </w:pPr>
      <w:r w:rsidRPr="00573DEE">
        <w:rPr>
          <w:rFonts w:cstheme="minorHAnsi"/>
          <w:sz w:val="24"/>
          <w:szCs w:val="24"/>
        </w:rPr>
        <w:t xml:space="preserve">Policy 7350 was revised to comply with the annual changes made to the </w:t>
      </w:r>
      <w:hyperlink r:id="rId24" w:history="1">
        <w:r w:rsidRPr="00573DEE">
          <w:rPr>
            <w:rStyle w:val="Hyperlink"/>
            <w:rFonts w:cstheme="minorHAnsi"/>
            <w:sz w:val="24"/>
            <w:szCs w:val="24"/>
          </w:rPr>
          <w:t>points and fee thresholds</w:t>
        </w:r>
      </w:hyperlink>
      <w:r w:rsidRPr="00573DEE">
        <w:rPr>
          <w:rFonts w:cstheme="minorHAnsi"/>
          <w:sz w:val="24"/>
          <w:szCs w:val="24"/>
        </w:rPr>
        <w:t xml:space="preserve"> to determine if a mortgage is considered a qualified mortgage under the rules, based on the Consumer Price Index.  These changes bec</w:t>
      </w:r>
      <w:r w:rsidR="00A67515" w:rsidRPr="00573DEE">
        <w:rPr>
          <w:rFonts w:cstheme="minorHAnsi"/>
          <w:sz w:val="24"/>
          <w:szCs w:val="24"/>
        </w:rPr>
        <w:t>o</w:t>
      </w:r>
      <w:r w:rsidRPr="00573DEE">
        <w:rPr>
          <w:rFonts w:cstheme="minorHAnsi"/>
          <w:sz w:val="24"/>
          <w:szCs w:val="24"/>
        </w:rPr>
        <w:t>me effective on January 1, 202</w:t>
      </w:r>
      <w:r w:rsidR="001E1A6D">
        <w:rPr>
          <w:rFonts w:cstheme="minorHAnsi"/>
          <w:sz w:val="24"/>
          <w:szCs w:val="24"/>
        </w:rPr>
        <w:t>4</w:t>
      </w:r>
      <w:r w:rsidRPr="00573DEE">
        <w:rPr>
          <w:rFonts w:cstheme="minorHAnsi"/>
          <w:sz w:val="24"/>
          <w:szCs w:val="24"/>
        </w:rPr>
        <w:t>.</w:t>
      </w:r>
      <w:r w:rsidR="00F521BD" w:rsidRPr="00573DEE">
        <w:rPr>
          <w:rFonts w:cstheme="minorHAnsi"/>
          <w:sz w:val="24"/>
          <w:szCs w:val="24"/>
        </w:rPr>
        <w:t xml:space="preserve">  Changes were also made to reflect </w:t>
      </w:r>
      <w:r w:rsidR="003539ED" w:rsidRPr="00573DEE">
        <w:rPr>
          <w:rFonts w:cstheme="minorHAnsi"/>
          <w:sz w:val="24"/>
          <w:szCs w:val="24"/>
        </w:rPr>
        <w:t>the price-based thresholds for the general qualified mortgage definition</w:t>
      </w:r>
      <w:r w:rsidR="008C416F">
        <w:rPr>
          <w:rFonts w:cstheme="minorHAnsi"/>
          <w:sz w:val="24"/>
          <w:szCs w:val="24"/>
        </w:rPr>
        <w:t>, also effective on January 1, 202</w:t>
      </w:r>
      <w:r w:rsidR="001E1A6D">
        <w:rPr>
          <w:rFonts w:cstheme="minorHAnsi"/>
          <w:sz w:val="24"/>
          <w:szCs w:val="24"/>
        </w:rPr>
        <w:t>4</w:t>
      </w:r>
      <w:r w:rsidR="008C416F">
        <w:rPr>
          <w:rFonts w:cstheme="minorHAnsi"/>
          <w:sz w:val="24"/>
          <w:szCs w:val="24"/>
        </w:rPr>
        <w:t xml:space="preserve">.  </w:t>
      </w:r>
      <w:r w:rsidRPr="00573DEE">
        <w:rPr>
          <w:rFonts w:cstheme="minorHAnsi"/>
          <w:b/>
          <w:bCs/>
          <w:color w:val="FF0000"/>
          <w:sz w:val="24"/>
          <w:szCs w:val="24"/>
        </w:rPr>
        <w:t>(Required)</w:t>
      </w:r>
    </w:p>
    <w:p w14:paraId="55CD31CC" w14:textId="6756F76C" w:rsidR="00DA0CC3" w:rsidRPr="00573DEE" w:rsidRDefault="00DA0CC3" w:rsidP="00DA0CC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926C9F0" w14:textId="77777777" w:rsidR="004B77FF" w:rsidRPr="00573DEE" w:rsidRDefault="004B77FF" w:rsidP="004B77FF">
      <w:pPr>
        <w:spacing w:after="0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Policy 7351 – Small Creditor Ability to Repay</w:t>
      </w:r>
    </w:p>
    <w:p w14:paraId="6ED632FE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3FE9FB62" w14:textId="132D27A1" w:rsidR="00285346" w:rsidRPr="00573DEE" w:rsidRDefault="00285346" w:rsidP="00285346">
      <w:pPr>
        <w:spacing w:after="0"/>
        <w:rPr>
          <w:rFonts w:cstheme="minorHAnsi"/>
          <w:sz w:val="24"/>
          <w:szCs w:val="24"/>
        </w:rPr>
      </w:pPr>
      <w:r w:rsidRPr="00573DEE">
        <w:rPr>
          <w:rFonts w:cstheme="minorHAnsi"/>
          <w:sz w:val="24"/>
          <w:szCs w:val="24"/>
        </w:rPr>
        <w:t>Policy 735</w:t>
      </w:r>
      <w:r w:rsidR="00531633">
        <w:rPr>
          <w:rFonts w:cstheme="minorHAnsi"/>
          <w:sz w:val="24"/>
          <w:szCs w:val="24"/>
        </w:rPr>
        <w:t>1</w:t>
      </w:r>
      <w:r w:rsidRPr="00573DEE">
        <w:rPr>
          <w:rFonts w:cstheme="minorHAnsi"/>
          <w:sz w:val="24"/>
          <w:szCs w:val="24"/>
        </w:rPr>
        <w:t xml:space="preserve"> was revised to comply with the annual changes made to the </w:t>
      </w:r>
      <w:hyperlink r:id="rId25" w:history="1">
        <w:r w:rsidRPr="00573DEE">
          <w:rPr>
            <w:rStyle w:val="Hyperlink"/>
            <w:rFonts w:cstheme="minorHAnsi"/>
            <w:sz w:val="24"/>
            <w:szCs w:val="24"/>
          </w:rPr>
          <w:t>points and fee thresholds</w:t>
        </w:r>
      </w:hyperlink>
      <w:r w:rsidRPr="00573DEE">
        <w:rPr>
          <w:rFonts w:cstheme="minorHAnsi"/>
          <w:sz w:val="24"/>
          <w:szCs w:val="24"/>
        </w:rPr>
        <w:t xml:space="preserve"> to determine if a mortgage is considered a qualified mortgage under the rules, based on the Consumer Price Index.  These changes become effective on January 1, 202</w:t>
      </w:r>
      <w:r w:rsidR="001E1A6D">
        <w:rPr>
          <w:rFonts w:cstheme="minorHAnsi"/>
          <w:sz w:val="24"/>
          <w:szCs w:val="24"/>
        </w:rPr>
        <w:t>4</w:t>
      </w:r>
      <w:r w:rsidRPr="00573DE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E5EE293" w14:textId="71CE3E9F" w:rsidR="004B77FF" w:rsidRPr="0094362A" w:rsidRDefault="004B77FF" w:rsidP="0094362A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573DEE">
        <w:rPr>
          <w:rFonts w:cstheme="minorHAnsi"/>
          <w:b/>
          <w:bCs/>
          <w:color w:val="FF0000"/>
          <w:sz w:val="24"/>
          <w:szCs w:val="24"/>
        </w:rPr>
        <w:t>(Required)</w:t>
      </w:r>
    </w:p>
    <w:p w14:paraId="247CBB19" w14:textId="77777777" w:rsidR="00DA0CC3" w:rsidRPr="00573DEE" w:rsidRDefault="00DA0CC3" w:rsidP="00DA0CC3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0228599" w14:textId="77777777" w:rsidR="00DA0CC3" w:rsidRPr="00573DEE" w:rsidRDefault="00DA0CC3" w:rsidP="00DA0CC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Policy 7370 – HOEPA Rule Requirement</w:t>
      </w:r>
    </w:p>
    <w:p w14:paraId="77D4DF35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473B2601" w14:textId="40EEFA11" w:rsidR="00DA0CC3" w:rsidRPr="00573DEE" w:rsidRDefault="00DA0CC3" w:rsidP="006045FA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573DEE">
        <w:rPr>
          <w:rFonts w:cstheme="minorHAnsi"/>
          <w:sz w:val="24"/>
          <w:szCs w:val="24"/>
        </w:rPr>
        <w:t xml:space="preserve">The </w:t>
      </w:r>
      <w:hyperlink r:id="rId26" w:history="1">
        <w:r w:rsidRPr="00573DEE">
          <w:rPr>
            <w:rStyle w:val="Hyperlink"/>
            <w:rFonts w:cstheme="minorHAnsi"/>
            <w:sz w:val="24"/>
            <w:szCs w:val="24"/>
          </w:rPr>
          <w:t>thresholds for determining if a loan is covered under HOEPA</w:t>
        </w:r>
      </w:hyperlink>
      <w:r w:rsidRPr="00573DEE">
        <w:rPr>
          <w:rFonts w:cstheme="minorHAnsi"/>
          <w:sz w:val="24"/>
          <w:szCs w:val="24"/>
        </w:rPr>
        <w:t xml:space="preserve"> were also adjusted for January 1, 202</w:t>
      </w:r>
      <w:r w:rsidR="0094362A">
        <w:rPr>
          <w:rFonts w:cstheme="minorHAnsi"/>
          <w:sz w:val="24"/>
          <w:szCs w:val="24"/>
        </w:rPr>
        <w:t>4</w:t>
      </w:r>
      <w:r w:rsidRPr="00573DEE">
        <w:rPr>
          <w:rFonts w:cstheme="minorHAnsi"/>
          <w:sz w:val="24"/>
          <w:szCs w:val="24"/>
        </w:rPr>
        <w:t xml:space="preserve"> and these amounts were updated in the policy accordingly. </w:t>
      </w:r>
      <w:r w:rsidRPr="00573DEE">
        <w:rPr>
          <w:rFonts w:cstheme="minorHAnsi"/>
          <w:b/>
          <w:bCs/>
          <w:color w:val="FF0000"/>
          <w:sz w:val="24"/>
          <w:szCs w:val="24"/>
        </w:rPr>
        <w:t>(Required)</w:t>
      </w:r>
    </w:p>
    <w:p w14:paraId="65454D2C" w14:textId="2EAE6F2C" w:rsidR="009E241D" w:rsidRPr="00573DEE" w:rsidRDefault="009E241D" w:rsidP="00DA0CC3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34E737B9" w14:textId="38469B81" w:rsidR="00767E67" w:rsidRPr="00573DEE" w:rsidRDefault="00767E67" w:rsidP="00767E6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 xml:space="preserve">Policy </w:t>
      </w:r>
      <w:r w:rsidR="00DB0F56" w:rsidRPr="00573DEE">
        <w:rPr>
          <w:rFonts w:cstheme="minorHAnsi"/>
          <w:b/>
          <w:sz w:val="24"/>
          <w:szCs w:val="24"/>
          <w:u w:val="single"/>
        </w:rPr>
        <w:t>9200 – Home Mortgage Disclosure Act</w:t>
      </w:r>
    </w:p>
    <w:p w14:paraId="20BC72CA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692863B3" w14:textId="67BAC935" w:rsidR="002F5630" w:rsidRPr="00573DEE" w:rsidRDefault="00DB0F56" w:rsidP="002F5630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573DEE">
        <w:rPr>
          <w:rFonts w:cstheme="minorHAnsi"/>
          <w:sz w:val="24"/>
          <w:szCs w:val="24"/>
        </w:rPr>
        <w:t xml:space="preserve">This policy was updated to reflect the </w:t>
      </w:r>
      <w:hyperlink r:id="rId27" w:history="1">
        <w:r w:rsidRPr="00573DEE">
          <w:rPr>
            <w:rStyle w:val="Hyperlink"/>
            <w:rFonts w:cstheme="minorHAnsi"/>
            <w:sz w:val="24"/>
            <w:szCs w:val="24"/>
          </w:rPr>
          <w:t>annual threshold change</w:t>
        </w:r>
      </w:hyperlink>
      <w:r w:rsidRPr="00573DEE">
        <w:rPr>
          <w:rFonts w:cstheme="minorHAnsi"/>
          <w:sz w:val="24"/>
          <w:szCs w:val="24"/>
        </w:rPr>
        <w:t xml:space="preserve"> to determine asset size coverage for the rule, which has increased to $</w:t>
      </w:r>
      <w:r w:rsidR="00962462">
        <w:rPr>
          <w:rFonts w:cstheme="minorHAnsi"/>
          <w:sz w:val="24"/>
          <w:szCs w:val="24"/>
        </w:rPr>
        <w:t>5</w:t>
      </w:r>
      <w:r w:rsidR="00C724A4">
        <w:rPr>
          <w:rFonts w:cstheme="minorHAnsi"/>
          <w:sz w:val="24"/>
          <w:szCs w:val="24"/>
        </w:rPr>
        <w:t>6</w:t>
      </w:r>
      <w:r w:rsidRPr="00573DEE">
        <w:rPr>
          <w:rFonts w:cstheme="minorHAnsi"/>
          <w:sz w:val="24"/>
          <w:szCs w:val="24"/>
        </w:rPr>
        <w:t xml:space="preserve"> million.  Credit unions below this asset size</w:t>
      </w:r>
      <w:r w:rsidR="00C1673C" w:rsidRPr="00573DEE">
        <w:rPr>
          <w:rFonts w:cstheme="minorHAnsi"/>
          <w:sz w:val="24"/>
          <w:szCs w:val="24"/>
        </w:rPr>
        <w:t>, will not be required to report HMDA data.</w:t>
      </w:r>
      <w:r w:rsidR="004D06C7" w:rsidRPr="00573DEE">
        <w:rPr>
          <w:rFonts w:cstheme="minorHAnsi"/>
          <w:sz w:val="24"/>
          <w:szCs w:val="24"/>
        </w:rPr>
        <w:t xml:space="preserve"> </w:t>
      </w:r>
      <w:r w:rsidR="002F5630">
        <w:rPr>
          <w:rFonts w:cstheme="minorHAnsi"/>
          <w:sz w:val="24"/>
          <w:szCs w:val="24"/>
        </w:rPr>
        <w:t xml:space="preserve"> </w:t>
      </w:r>
      <w:r w:rsidR="002F5630" w:rsidRPr="00573DEE">
        <w:rPr>
          <w:rFonts w:cstheme="minorHAnsi"/>
          <w:b/>
          <w:bCs/>
          <w:color w:val="FF0000"/>
          <w:sz w:val="24"/>
          <w:szCs w:val="24"/>
        </w:rPr>
        <w:t>(Required)</w:t>
      </w:r>
    </w:p>
    <w:p w14:paraId="1C50DEB6" w14:textId="77777777" w:rsidR="00363D6F" w:rsidRPr="00573DEE" w:rsidRDefault="00363D6F" w:rsidP="00DA0CC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263508C" w14:textId="382A35D6" w:rsidR="00DA0CC3" w:rsidRPr="00573DEE" w:rsidRDefault="00DA0CC3" w:rsidP="00DA0CC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Policy 9220 – Home Ownership and Equity Protection Act</w:t>
      </w:r>
    </w:p>
    <w:p w14:paraId="3D919191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675F04A5" w14:textId="41E0B791" w:rsidR="00DA0CC3" w:rsidRPr="00573DEE" w:rsidRDefault="00DA0CC3" w:rsidP="00866460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573DEE">
        <w:rPr>
          <w:rFonts w:cstheme="minorHAnsi"/>
          <w:sz w:val="24"/>
          <w:szCs w:val="24"/>
        </w:rPr>
        <w:t xml:space="preserve">Similar to the changes made to Policy 7370, this policy was also revised to adjust the </w:t>
      </w:r>
      <w:hyperlink r:id="rId28" w:history="1">
        <w:r w:rsidRPr="00573DEE">
          <w:rPr>
            <w:rStyle w:val="Hyperlink"/>
            <w:rFonts w:cstheme="minorHAnsi"/>
            <w:sz w:val="24"/>
            <w:szCs w:val="24"/>
          </w:rPr>
          <w:t>thresholds for determining if a loan is covered under HOEPA</w:t>
        </w:r>
      </w:hyperlink>
      <w:r w:rsidRPr="00573DEE">
        <w:rPr>
          <w:rFonts w:cstheme="minorHAnsi"/>
          <w:sz w:val="24"/>
          <w:szCs w:val="24"/>
        </w:rPr>
        <w:t>, effective January 1, 202</w:t>
      </w:r>
      <w:r w:rsidR="00143172">
        <w:rPr>
          <w:rFonts w:cstheme="minorHAnsi"/>
          <w:sz w:val="24"/>
          <w:szCs w:val="24"/>
        </w:rPr>
        <w:t>4</w:t>
      </w:r>
      <w:r w:rsidRPr="00573DEE">
        <w:rPr>
          <w:rFonts w:cstheme="minorHAnsi"/>
          <w:sz w:val="24"/>
          <w:szCs w:val="24"/>
        </w:rPr>
        <w:t>.</w:t>
      </w:r>
      <w:r w:rsidR="00866460">
        <w:rPr>
          <w:rFonts w:cstheme="minorHAnsi"/>
          <w:sz w:val="24"/>
          <w:szCs w:val="24"/>
        </w:rPr>
        <w:t xml:space="preserve"> </w:t>
      </w:r>
      <w:r w:rsidRPr="00573DEE">
        <w:rPr>
          <w:rFonts w:cstheme="minorHAnsi"/>
          <w:b/>
          <w:bCs/>
          <w:color w:val="FF0000"/>
          <w:sz w:val="24"/>
          <w:szCs w:val="24"/>
        </w:rPr>
        <w:t>(Required)</w:t>
      </w:r>
    </w:p>
    <w:p w14:paraId="7FD971D8" w14:textId="77777777" w:rsidR="00DA0CC3" w:rsidRPr="00573DEE" w:rsidRDefault="00DA0CC3" w:rsidP="00DA0CC3"/>
    <w:p w14:paraId="42DCD403" w14:textId="7CA5F816" w:rsidR="00F82050" w:rsidRPr="00573DEE" w:rsidRDefault="00F82050" w:rsidP="00F8205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Policy 9420 – Regulation D – Monetary Control Act</w:t>
      </w:r>
    </w:p>
    <w:p w14:paraId="77DFEC0F" w14:textId="77777777" w:rsidR="00301289" w:rsidRDefault="00301289" w:rsidP="003012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452B6254" w14:textId="726FAF23" w:rsidR="009D3725" w:rsidRPr="00A361A8" w:rsidRDefault="00F82050" w:rsidP="00A361A8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573DEE">
        <w:rPr>
          <w:rFonts w:cstheme="minorHAnsi"/>
          <w:sz w:val="24"/>
          <w:szCs w:val="24"/>
        </w:rPr>
        <w:t xml:space="preserve">Even though the reserve </w:t>
      </w:r>
      <w:r w:rsidR="00366F65" w:rsidRPr="00573DEE">
        <w:rPr>
          <w:rFonts w:cstheme="minorHAnsi"/>
          <w:sz w:val="24"/>
          <w:szCs w:val="24"/>
        </w:rPr>
        <w:t xml:space="preserve">requirements </w:t>
      </w:r>
      <w:r w:rsidRPr="00573DEE">
        <w:rPr>
          <w:rFonts w:cstheme="minorHAnsi"/>
          <w:sz w:val="24"/>
          <w:szCs w:val="24"/>
        </w:rPr>
        <w:t xml:space="preserve">are still set at zero, </w:t>
      </w:r>
      <w:r w:rsidR="00366F65" w:rsidRPr="00573DEE">
        <w:rPr>
          <w:rFonts w:cstheme="minorHAnsi"/>
          <w:sz w:val="24"/>
          <w:szCs w:val="24"/>
        </w:rPr>
        <w:t xml:space="preserve">the </w:t>
      </w:r>
      <w:hyperlink r:id="rId29" w:history="1">
        <w:r w:rsidR="00BE65B3" w:rsidRPr="00573DEE">
          <w:rPr>
            <w:rStyle w:val="Hyperlink"/>
            <w:rFonts w:cstheme="minorHAnsi"/>
            <w:sz w:val="24"/>
            <w:szCs w:val="24"/>
          </w:rPr>
          <w:t>reserve requirements thresholds</w:t>
        </w:r>
      </w:hyperlink>
      <w:r w:rsidR="00BE65B3" w:rsidRPr="00573DEE">
        <w:rPr>
          <w:rFonts w:cstheme="minorHAnsi"/>
          <w:sz w:val="24"/>
          <w:szCs w:val="24"/>
        </w:rPr>
        <w:t xml:space="preserve"> amounts are updated </w:t>
      </w:r>
      <w:r w:rsidR="00F00966" w:rsidRPr="00573DEE">
        <w:rPr>
          <w:rFonts w:cstheme="minorHAnsi"/>
          <w:sz w:val="24"/>
          <w:szCs w:val="24"/>
        </w:rPr>
        <w:t>each year.  These changes are now reflected within the policy</w:t>
      </w:r>
      <w:r w:rsidR="00CC2051">
        <w:rPr>
          <w:rFonts w:cstheme="minorHAnsi"/>
          <w:sz w:val="24"/>
          <w:szCs w:val="24"/>
        </w:rPr>
        <w:t>.  The low reserve tranche has decreased from 2023.</w:t>
      </w:r>
      <w:r w:rsidR="00866460">
        <w:rPr>
          <w:rFonts w:cstheme="minorHAnsi"/>
          <w:sz w:val="24"/>
          <w:szCs w:val="24"/>
        </w:rPr>
        <w:t xml:space="preserve"> </w:t>
      </w:r>
      <w:r w:rsidR="00A361A8">
        <w:rPr>
          <w:rFonts w:cstheme="minorHAnsi"/>
          <w:color w:val="FF0000"/>
          <w:sz w:val="24"/>
          <w:szCs w:val="24"/>
        </w:rPr>
        <w:t xml:space="preserve"> </w:t>
      </w:r>
      <w:r w:rsidRPr="00573DEE">
        <w:rPr>
          <w:rFonts w:cstheme="minorHAnsi"/>
          <w:b/>
          <w:bCs/>
          <w:color w:val="FF0000"/>
          <w:sz w:val="24"/>
          <w:szCs w:val="24"/>
        </w:rPr>
        <w:t>(Required)</w:t>
      </w:r>
    </w:p>
    <w:p w14:paraId="65ED9C23" w14:textId="77777777" w:rsidR="005B7B7D" w:rsidRDefault="005B7B7D" w:rsidP="00561C45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01DAE011" w14:textId="7F75A1CE" w:rsidR="005B7B7D" w:rsidRPr="00573DEE" w:rsidRDefault="005B7B7D" w:rsidP="005B7B7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 xml:space="preserve">Policy </w:t>
      </w:r>
      <w:r>
        <w:rPr>
          <w:rFonts w:cstheme="minorHAnsi"/>
          <w:b/>
          <w:sz w:val="24"/>
          <w:szCs w:val="24"/>
          <w:u w:val="single"/>
        </w:rPr>
        <w:t>10010 – Records Retention Table 10: Security Records</w:t>
      </w:r>
    </w:p>
    <w:p w14:paraId="44D2ADE3" w14:textId="77777777" w:rsidR="005B7B7D" w:rsidRDefault="005B7B7D" w:rsidP="005B7B7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2024-1</w:t>
      </w:r>
    </w:p>
    <w:p w14:paraId="17EDE03A" w14:textId="2344D5DB" w:rsidR="005B7B7D" w:rsidRPr="00A361A8" w:rsidRDefault="003616DC" w:rsidP="00A361A8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An additional record was added to maintain the legal entity consent for accessing information from the FinCEN database</w:t>
      </w:r>
      <w:r w:rsidR="00CF0EFC">
        <w:rPr>
          <w:rFonts w:cstheme="minorHAnsi"/>
          <w:sz w:val="24"/>
          <w:szCs w:val="24"/>
        </w:rPr>
        <w:t xml:space="preserve"> until 5 years after it is last relied upon.</w:t>
      </w:r>
      <w:r w:rsidR="00A361A8">
        <w:rPr>
          <w:rFonts w:cstheme="minorHAnsi"/>
          <w:color w:val="FF0000"/>
          <w:sz w:val="24"/>
          <w:szCs w:val="24"/>
        </w:rPr>
        <w:t xml:space="preserve"> </w:t>
      </w:r>
      <w:r w:rsidR="005B7B7D" w:rsidRPr="00573DEE">
        <w:rPr>
          <w:rFonts w:cstheme="minorHAnsi"/>
          <w:b/>
          <w:bCs/>
          <w:color w:val="FF0000"/>
          <w:sz w:val="24"/>
          <w:szCs w:val="24"/>
        </w:rPr>
        <w:t>(Re</w:t>
      </w:r>
      <w:r w:rsidR="005B7B7D">
        <w:rPr>
          <w:rFonts w:cstheme="minorHAnsi"/>
          <w:b/>
          <w:bCs/>
          <w:color w:val="FF0000"/>
          <w:sz w:val="24"/>
          <w:szCs w:val="24"/>
        </w:rPr>
        <w:t>commended</w:t>
      </w:r>
      <w:r w:rsidR="005B7B7D"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7A7E708B" w14:textId="793BAFF9" w:rsidR="005B7B7D" w:rsidRPr="00592E5C" w:rsidRDefault="005B7B7D" w:rsidP="005B7B7D">
      <w:pPr>
        <w:spacing w:after="0"/>
        <w:rPr>
          <w:sz w:val="24"/>
          <w:szCs w:val="24"/>
        </w:rPr>
      </w:pPr>
    </w:p>
    <w:sectPr w:rsidR="005B7B7D" w:rsidRPr="00592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39CF"/>
    <w:multiLevelType w:val="hybridMultilevel"/>
    <w:tmpl w:val="D9F2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874C9"/>
    <w:multiLevelType w:val="hybridMultilevel"/>
    <w:tmpl w:val="430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4B85"/>
    <w:multiLevelType w:val="hybridMultilevel"/>
    <w:tmpl w:val="06068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7C4"/>
    <w:multiLevelType w:val="multilevel"/>
    <w:tmpl w:val="109C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3369B"/>
    <w:multiLevelType w:val="multilevel"/>
    <w:tmpl w:val="16E0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06761">
    <w:abstractNumId w:val="2"/>
  </w:num>
  <w:num w:numId="2" w16cid:durableId="826559424">
    <w:abstractNumId w:val="0"/>
  </w:num>
  <w:num w:numId="3" w16cid:durableId="1408961553">
    <w:abstractNumId w:val="1"/>
  </w:num>
  <w:num w:numId="4" w16cid:durableId="1449275341">
    <w:abstractNumId w:val="3"/>
  </w:num>
  <w:num w:numId="5" w16cid:durableId="2045401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5D"/>
    <w:rsid w:val="00000308"/>
    <w:rsid w:val="00006445"/>
    <w:rsid w:val="000122D8"/>
    <w:rsid w:val="0004254B"/>
    <w:rsid w:val="0004603A"/>
    <w:rsid w:val="00047C4B"/>
    <w:rsid w:val="0005483D"/>
    <w:rsid w:val="00066902"/>
    <w:rsid w:val="0006728A"/>
    <w:rsid w:val="00067519"/>
    <w:rsid w:val="000742A0"/>
    <w:rsid w:val="0007470B"/>
    <w:rsid w:val="00083017"/>
    <w:rsid w:val="00084354"/>
    <w:rsid w:val="00087F12"/>
    <w:rsid w:val="000A05B1"/>
    <w:rsid w:val="000A5665"/>
    <w:rsid w:val="000B3360"/>
    <w:rsid w:val="000C49A7"/>
    <w:rsid w:val="000C7CE2"/>
    <w:rsid w:val="000D44D8"/>
    <w:rsid w:val="000E783E"/>
    <w:rsid w:val="000F1E52"/>
    <w:rsid w:val="000F6D7E"/>
    <w:rsid w:val="00101D20"/>
    <w:rsid w:val="00103F2C"/>
    <w:rsid w:val="00113A5F"/>
    <w:rsid w:val="00121BE0"/>
    <w:rsid w:val="00121EB0"/>
    <w:rsid w:val="00127F99"/>
    <w:rsid w:val="0014074D"/>
    <w:rsid w:val="00143172"/>
    <w:rsid w:val="00145FDF"/>
    <w:rsid w:val="00157106"/>
    <w:rsid w:val="00160B18"/>
    <w:rsid w:val="00161C2C"/>
    <w:rsid w:val="00167E82"/>
    <w:rsid w:val="00192FCC"/>
    <w:rsid w:val="001955B0"/>
    <w:rsid w:val="001A33E1"/>
    <w:rsid w:val="001A5ECD"/>
    <w:rsid w:val="001B08E4"/>
    <w:rsid w:val="001B5A31"/>
    <w:rsid w:val="001B751A"/>
    <w:rsid w:val="001E1A6D"/>
    <w:rsid w:val="001E48FE"/>
    <w:rsid w:val="001F1AB3"/>
    <w:rsid w:val="001F6737"/>
    <w:rsid w:val="002000CC"/>
    <w:rsid w:val="00200E1E"/>
    <w:rsid w:val="00201C6D"/>
    <w:rsid w:val="0020441B"/>
    <w:rsid w:val="00211565"/>
    <w:rsid w:val="002116FE"/>
    <w:rsid w:val="00215215"/>
    <w:rsid w:val="00227629"/>
    <w:rsid w:val="002358FD"/>
    <w:rsid w:val="00243151"/>
    <w:rsid w:val="00243C50"/>
    <w:rsid w:val="0025065F"/>
    <w:rsid w:val="00252F46"/>
    <w:rsid w:val="0025663D"/>
    <w:rsid w:val="00263F28"/>
    <w:rsid w:val="00264481"/>
    <w:rsid w:val="002644C9"/>
    <w:rsid w:val="00264AF8"/>
    <w:rsid w:val="00272C9C"/>
    <w:rsid w:val="00277F80"/>
    <w:rsid w:val="00285346"/>
    <w:rsid w:val="00290D1A"/>
    <w:rsid w:val="00293300"/>
    <w:rsid w:val="0029358D"/>
    <w:rsid w:val="002946C0"/>
    <w:rsid w:val="002A4CB6"/>
    <w:rsid w:val="002A6E4E"/>
    <w:rsid w:val="002B0CDD"/>
    <w:rsid w:val="002B47E9"/>
    <w:rsid w:val="002D1EF7"/>
    <w:rsid w:val="002F02C6"/>
    <w:rsid w:val="002F5630"/>
    <w:rsid w:val="00300E36"/>
    <w:rsid w:val="00301289"/>
    <w:rsid w:val="00320C92"/>
    <w:rsid w:val="00324269"/>
    <w:rsid w:val="00327A13"/>
    <w:rsid w:val="00334276"/>
    <w:rsid w:val="00336619"/>
    <w:rsid w:val="00337AC4"/>
    <w:rsid w:val="00337FF6"/>
    <w:rsid w:val="003446A6"/>
    <w:rsid w:val="003460F5"/>
    <w:rsid w:val="003539ED"/>
    <w:rsid w:val="003616DC"/>
    <w:rsid w:val="003622C7"/>
    <w:rsid w:val="00363D6F"/>
    <w:rsid w:val="00366F65"/>
    <w:rsid w:val="00371227"/>
    <w:rsid w:val="00371A7F"/>
    <w:rsid w:val="00375709"/>
    <w:rsid w:val="0037669B"/>
    <w:rsid w:val="003851D9"/>
    <w:rsid w:val="00386DDB"/>
    <w:rsid w:val="00390164"/>
    <w:rsid w:val="00392086"/>
    <w:rsid w:val="00396882"/>
    <w:rsid w:val="003B0A87"/>
    <w:rsid w:val="003B0C9E"/>
    <w:rsid w:val="003B703C"/>
    <w:rsid w:val="003B7A9A"/>
    <w:rsid w:val="003C3310"/>
    <w:rsid w:val="003D44F1"/>
    <w:rsid w:val="003E2EB0"/>
    <w:rsid w:val="003E61DA"/>
    <w:rsid w:val="003E7E1E"/>
    <w:rsid w:val="003F49E3"/>
    <w:rsid w:val="003F57EA"/>
    <w:rsid w:val="003F5D16"/>
    <w:rsid w:val="0041300B"/>
    <w:rsid w:val="004130BD"/>
    <w:rsid w:val="00420A41"/>
    <w:rsid w:val="004236AE"/>
    <w:rsid w:val="004318F0"/>
    <w:rsid w:val="00432BDF"/>
    <w:rsid w:val="00432CF4"/>
    <w:rsid w:val="00434B0F"/>
    <w:rsid w:val="0043733F"/>
    <w:rsid w:val="00445906"/>
    <w:rsid w:val="00467B54"/>
    <w:rsid w:val="00472E90"/>
    <w:rsid w:val="00474DCA"/>
    <w:rsid w:val="00480C2D"/>
    <w:rsid w:val="00487B1A"/>
    <w:rsid w:val="004946EC"/>
    <w:rsid w:val="004A1448"/>
    <w:rsid w:val="004A3D98"/>
    <w:rsid w:val="004A7080"/>
    <w:rsid w:val="004B77FF"/>
    <w:rsid w:val="004C546A"/>
    <w:rsid w:val="004C5B8F"/>
    <w:rsid w:val="004C7DFE"/>
    <w:rsid w:val="004D06C7"/>
    <w:rsid w:val="004E1110"/>
    <w:rsid w:val="004E4D3A"/>
    <w:rsid w:val="004F03B3"/>
    <w:rsid w:val="004F254A"/>
    <w:rsid w:val="0050188B"/>
    <w:rsid w:val="00504D7D"/>
    <w:rsid w:val="005066CA"/>
    <w:rsid w:val="0051642E"/>
    <w:rsid w:val="00531633"/>
    <w:rsid w:val="00532FB8"/>
    <w:rsid w:val="005430F7"/>
    <w:rsid w:val="005441B6"/>
    <w:rsid w:val="005534EE"/>
    <w:rsid w:val="00553B99"/>
    <w:rsid w:val="00555C6A"/>
    <w:rsid w:val="00561C45"/>
    <w:rsid w:val="00562AE7"/>
    <w:rsid w:val="005673EC"/>
    <w:rsid w:val="00573DEE"/>
    <w:rsid w:val="00591682"/>
    <w:rsid w:val="00592E5C"/>
    <w:rsid w:val="00593897"/>
    <w:rsid w:val="005A4892"/>
    <w:rsid w:val="005B7B7D"/>
    <w:rsid w:val="005C1CB4"/>
    <w:rsid w:val="005C30FC"/>
    <w:rsid w:val="005D1D69"/>
    <w:rsid w:val="005D29F8"/>
    <w:rsid w:val="005E68B9"/>
    <w:rsid w:val="005F076D"/>
    <w:rsid w:val="005F7649"/>
    <w:rsid w:val="006045FA"/>
    <w:rsid w:val="006179C2"/>
    <w:rsid w:val="00631F31"/>
    <w:rsid w:val="00631F94"/>
    <w:rsid w:val="00657927"/>
    <w:rsid w:val="00665AE7"/>
    <w:rsid w:val="00696CEF"/>
    <w:rsid w:val="006A03F0"/>
    <w:rsid w:val="006A2FFF"/>
    <w:rsid w:val="006B0E8B"/>
    <w:rsid w:val="006B4920"/>
    <w:rsid w:val="006B4A17"/>
    <w:rsid w:val="006B5CAA"/>
    <w:rsid w:val="006C50F8"/>
    <w:rsid w:val="006D5B47"/>
    <w:rsid w:val="006D6DA2"/>
    <w:rsid w:val="006D6E4B"/>
    <w:rsid w:val="006E0AF8"/>
    <w:rsid w:val="006E0BF9"/>
    <w:rsid w:val="006E3494"/>
    <w:rsid w:val="00700142"/>
    <w:rsid w:val="00703E73"/>
    <w:rsid w:val="007060B5"/>
    <w:rsid w:val="00714B2C"/>
    <w:rsid w:val="00725B88"/>
    <w:rsid w:val="00742C73"/>
    <w:rsid w:val="007446EA"/>
    <w:rsid w:val="00746A9B"/>
    <w:rsid w:val="00752A77"/>
    <w:rsid w:val="00753BAB"/>
    <w:rsid w:val="00754C21"/>
    <w:rsid w:val="0076695D"/>
    <w:rsid w:val="00767E67"/>
    <w:rsid w:val="00777C55"/>
    <w:rsid w:val="007808E7"/>
    <w:rsid w:val="0079652D"/>
    <w:rsid w:val="00796CA5"/>
    <w:rsid w:val="007A3122"/>
    <w:rsid w:val="007B62CD"/>
    <w:rsid w:val="007E0848"/>
    <w:rsid w:val="007E3115"/>
    <w:rsid w:val="007F3C46"/>
    <w:rsid w:val="007F3C6B"/>
    <w:rsid w:val="007F793E"/>
    <w:rsid w:val="00820D5E"/>
    <w:rsid w:val="008261E5"/>
    <w:rsid w:val="008464BF"/>
    <w:rsid w:val="0085079D"/>
    <w:rsid w:val="008510DC"/>
    <w:rsid w:val="00866460"/>
    <w:rsid w:val="00866523"/>
    <w:rsid w:val="008767DB"/>
    <w:rsid w:val="00877FA6"/>
    <w:rsid w:val="008815FA"/>
    <w:rsid w:val="0088480A"/>
    <w:rsid w:val="0089409D"/>
    <w:rsid w:val="008960B7"/>
    <w:rsid w:val="0089777B"/>
    <w:rsid w:val="008A28F2"/>
    <w:rsid w:val="008A4F1C"/>
    <w:rsid w:val="008A635B"/>
    <w:rsid w:val="008B05D0"/>
    <w:rsid w:val="008B16A6"/>
    <w:rsid w:val="008B30D3"/>
    <w:rsid w:val="008C35C2"/>
    <w:rsid w:val="008C416F"/>
    <w:rsid w:val="008D0C38"/>
    <w:rsid w:val="008D2E9B"/>
    <w:rsid w:val="008D34DD"/>
    <w:rsid w:val="008D543A"/>
    <w:rsid w:val="008E5626"/>
    <w:rsid w:val="008E5C06"/>
    <w:rsid w:val="008F27B7"/>
    <w:rsid w:val="008F6069"/>
    <w:rsid w:val="008F764C"/>
    <w:rsid w:val="00902E64"/>
    <w:rsid w:val="0092053B"/>
    <w:rsid w:val="009252C5"/>
    <w:rsid w:val="009254E3"/>
    <w:rsid w:val="00927D13"/>
    <w:rsid w:val="00927EF9"/>
    <w:rsid w:val="0093597C"/>
    <w:rsid w:val="00942482"/>
    <w:rsid w:val="0094362A"/>
    <w:rsid w:val="00944199"/>
    <w:rsid w:val="00946C39"/>
    <w:rsid w:val="009532D1"/>
    <w:rsid w:val="00954181"/>
    <w:rsid w:val="00962462"/>
    <w:rsid w:val="00964455"/>
    <w:rsid w:val="009713FE"/>
    <w:rsid w:val="00976CB1"/>
    <w:rsid w:val="00976EA4"/>
    <w:rsid w:val="00982A76"/>
    <w:rsid w:val="00983425"/>
    <w:rsid w:val="009846EE"/>
    <w:rsid w:val="00991B4C"/>
    <w:rsid w:val="00996609"/>
    <w:rsid w:val="009A1C46"/>
    <w:rsid w:val="009C2C51"/>
    <w:rsid w:val="009D20D5"/>
    <w:rsid w:val="009D3725"/>
    <w:rsid w:val="009D46D9"/>
    <w:rsid w:val="009D7111"/>
    <w:rsid w:val="009E0E41"/>
    <w:rsid w:val="009E241D"/>
    <w:rsid w:val="009E28B8"/>
    <w:rsid w:val="009F31FF"/>
    <w:rsid w:val="00A00EB0"/>
    <w:rsid w:val="00A06378"/>
    <w:rsid w:val="00A12BEB"/>
    <w:rsid w:val="00A214CE"/>
    <w:rsid w:val="00A25378"/>
    <w:rsid w:val="00A26E6A"/>
    <w:rsid w:val="00A27BE2"/>
    <w:rsid w:val="00A361A8"/>
    <w:rsid w:val="00A47FAF"/>
    <w:rsid w:val="00A50264"/>
    <w:rsid w:val="00A5048D"/>
    <w:rsid w:val="00A50525"/>
    <w:rsid w:val="00A52080"/>
    <w:rsid w:val="00A64019"/>
    <w:rsid w:val="00A67515"/>
    <w:rsid w:val="00A67EA6"/>
    <w:rsid w:val="00A7581A"/>
    <w:rsid w:val="00A77798"/>
    <w:rsid w:val="00A77CCE"/>
    <w:rsid w:val="00A87F47"/>
    <w:rsid w:val="00AA096B"/>
    <w:rsid w:val="00AA4ABB"/>
    <w:rsid w:val="00AB15A8"/>
    <w:rsid w:val="00AB1C90"/>
    <w:rsid w:val="00AF2112"/>
    <w:rsid w:val="00AF2694"/>
    <w:rsid w:val="00B13A16"/>
    <w:rsid w:val="00B20A27"/>
    <w:rsid w:val="00B27B9E"/>
    <w:rsid w:val="00B30665"/>
    <w:rsid w:val="00B31562"/>
    <w:rsid w:val="00B369CA"/>
    <w:rsid w:val="00B46F00"/>
    <w:rsid w:val="00B55B52"/>
    <w:rsid w:val="00B67E05"/>
    <w:rsid w:val="00B704D2"/>
    <w:rsid w:val="00B71822"/>
    <w:rsid w:val="00B77140"/>
    <w:rsid w:val="00BC27BC"/>
    <w:rsid w:val="00BE4C7B"/>
    <w:rsid w:val="00BE65B3"/>
    <w:rsid w:val="00BE7DC3"/>
    <w:rsid w:val="00BF780D"/>
    <w:rsid w:val="00C0154D"/>
    <w:rsid w:val="00C1673C"/>
    <w:rsid w:val="00C24FEA"/>
    <w:rsid w:val="00C335ED"/>
    <w:rsid w:val="00C41066"/>
    <w:rsid w:val="00C41551"/>
    <w:rsid w:val="00C42BAD"/>
    <w:rsid w:val="00C44BAF"/>
    <w:rsid w:val="00C568D9"/>
    <w:rsid w:val="00C57124"/>
    <w:rsid w:val="00C724A4"/>
    <w:rsid w:val="00C776AA"/>
    <w:rsid w:val="00C83D66"/>
    <w:rsid w:val="00C8744E"/>
    <w:rsid w:val="00C9036B"/>
    <w:rsid w:val="00C9129A"/>
    <w:rsid w:val="00CA5C14"/>
    <w:rsid w:val="00CC2051"/>
    <w:rsid w:val="00CC29F8"/>
    <w:rsid w:val="00CC2ABF"/>
    <w:rsid w:val="00CC3C3B"/>
    <w:rsid w:val="00CC6208"/>
    <w:rsid w:val="00CD554F"/>
    <w:rsid w:val="00CD79BB"/>
    <w:rsid w:val="00CE2F7E"/>
    <w:rsid w:val="00CE3D3A"/>
    <w:rsid w:val="00CE637A"/>
    <w:rsid w:val="00CF0EFC"/>
    <w:rsid w:val="00CF4E0A"/>
    <w:rsid w:val="00CF52EC"/>
    <w:rsid w:val="00D02F7B"/>
    <w:rsid w:val="00D14324"/>
    <w:rsid w:val="00D304D1"/>
    <w:rsid w:val="00D362A7"/>
    <w:rsid w:val="00D462C7"/>
    <w:rsid w:val="00D46CA9"/>
    <w:rsid w:val="00D54803"/>
    <w:rsid w:val="00D56FAB"/>
    <w:rsid w:val="00D57D04"/>
    <w:rsid w:val="00D63572"/>
    <w:rsid w:val="00D75B55"/>
    <w:rsid w:val="00D82377"/>
    <w:rsid w:val="00D8412C"/>
    <w:rsid w:val="00D93CE5"/>
    <w:rsid w:val="00D94E3C"/>
    <w:rsid w:val="00D9734D"/>
    <w:rsid w:val="00DA0CC3"/>
    <w:rsid w:val="00DA29A7"/>
    <w:rsid w:val="00DA672A"/>
    <w:rsid w:val="00DB0F56"/>
    <w:rsid w:val="00DB2FB1"/>
    <w:rsid w:val="00DB32B6"/>
    <w:rsid w:val="00DB3FFA"/>
    <w:rsid w:val="00DC08FF"/>
    <w:rsid w:val="00DC2DF8"/>
    <w:rsid w:val="00DC6ECF"/>
    <w:rsid w:val="00DD2A88"/>
    <w:rsid w:val="00DE0DBF"/>
    <w:rsid w:val="00DE15C9"/>
    <w:rsid w:val="00DF1DFB"/>
    <w:rsid w:val="00DF2754"/>
    <w:rsid w:val="00DF4C7D"/>
    <w:rsid w:val="00DF74D9"/>
    <w:rsid w:val="00E00516"/>
    <w:rsid w:val="00E067CA"/>
    <w:rsid w:val="00E13839"/>
    <w:rsid w:val="00E17D69"/>
    <w:rsid w:val="00E30CC6"/>
    <w:rsid w:val="00E36BF4"/>
    <w:rsid w:val="00E42AB7"/>
    <w:rsid w:val="00E43087"/>
    <w:rsid w:val="00E4603C"/>
    <w:rsid w:val="00E4651F"/>
    <w:rsid w:val="00E50924"/>
    <w:rsid w:val="00E55C3E"/>
    <w:rsid w:val="00E62FEB"/>
    <w:rsid w:val="00E76592"/>
    <w:rsid w:val="00E80717"/>
    <w:rsid w:val="00E84769"/>
    <w:rsid w:val="00E92789"/>
    <w:rsid w:val="00E95578"/>
    <w:rsid w:val="00E958A7"/>
    <w:rsid w:val="00EB3859"/>
    <w:rsid w:val="00EB482A"/>
    <w:rsid w:val="00EC6261"/>
    <w:rsid w:val="00EC65CA"/>
    <w:rsid w:val="00ED1DE2"/>
    <w:rsid w:val="00EE55C1"/>
    <w:rsid w:val="00EE64AC"/>
    <w:rsid w:val="00EF40ED"/>
    <w:rsid w:val="00EF78C6"/>
    <w:rsid w:val="00F00966"/>
    <w:rsid w:val="00F01F1D"/>
    <w:rsid w:val="00F02FA1"/>
    <w:rsid w:val="00F033C2"/>
    <w:rsid w:val="00F04A28"/>
    <w:rsid w:val="00F05733"/>
    <w:rsid w:val="00F11209"/>
    <w:rsid w:val="00F15B38"/>
    <w:rsid w:val="00F27226"/>
    <w:rsid w:val="00F35C56"/>
    <w:rsid w:val="00F45B3E"/>
    <w:rsid w:val="00F479E6"/>
    <w:rsid w:val="00F521BD"/>
    <w:rsid w:val="00F5279C"/>
    <w:rsid w:val="00F61439"/>
    <w:rsid w:val="00F64D8D"/>
    <w:rsid w:val="00F65EB9"/>
    <w:rsid w:val="00F732C2"/>
    <w:rsid w:val="00F82050"/>
    <w:rsid w:val="00F83332"/>
    <w:rsid w:val="00FA5AAD"/>
    <w:rsid w:val="00FB42B9"/>
    <w:rsid w:val="00FE0F6C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715C"/>
  <w15:chartTrackingRefBased/>
  <w15:docId w15:val="{4DDE9676-E819-4BED-BD83-2BE7AA83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0CC3"/>
    <w:rPr>
      <w:color w:val="0563C1" w:themeColor="hyperlink"/>
      <w:u w:val="single"/>
    </w:rPr>
  </w:style>
  <w:style w:type="paragraph" w:customStyle="1" w:styleId="Default">
    <w:name w:val="Default"/>
    <w:rsid w:val="00DA0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C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9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0B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87F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F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E3115"/>
    <w:rPr>
      <w:b/>
      <w:bCs/>
    </w:rPr>
  </w:style>
  <w:style w:type="character" w:styleId="Emphasis">
    <w:name w:val="Emphasis"/>
    <w:basedOn w:val="DefaultParagraphFont"/>
    <w:uiPriority w:val="20"/>
    <w:qFormat/>
    <w:rsid w:val="007E31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drop/rp-23-23.pdf" TargetMode="External"/><Relationship Id="rId13" Type="http://schemas.openxmlformats.org/officeDocument/2006/relationships/hyperlink" Target="https://www.govinfo.gov/content/pkg/FR-2023-07-21/pdf/2023-12609.pdf" TargetMode="External"/><Relationship Id="rId18" Type="http://schemas.openxmlformats.org/officeDocument/2006/relationships/hyperlink" Target="https://www.govinfo.gov/content/pkg/FR-2023-11-21/pdf/2023-25749.pdf" TargetMode="External"/><Relationship Id="rId26" Type="http://schemas.openxmlformats.org/officeDocument/2006/relationships/hyperlink" Target="https://www.govinfo.gov/content/pkg/FR-2023-12-21/pdf/2023-2807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info.gov/content/pkg/FR-2023-11-29/pdf/2023-25047.pdf?utm_campaign=subscription+mailing+list&amp;utm_medium=email&amp;utm_source=federalregister.gov" TargetMode="External"/><Relationship Id="rId7" Type="http://schemas.openxmlformats.org/officeDocument/2006/relationships/hyperlink" Target="https://www.govinfo.gov/content/pkg/FR-2023-09-21/pdf/2023-20476.pdf" TargetMode="External"/><Relationship Id="rId12" Type="http://schemas.openxmlformats.org/officeDocument/2006/relationships/hyperlink" Target="https://www.federalreserve.gov/newsevents/pressreleases/bcreg20231127a.htm" TargetMode="External"/><Relationship Id="rId17" Type="http://schemas.openxmlformats.org/officeDocument/2006/relationships/hyperlink" Target="https://www.irs.gov/pub/irs-drop/rp-23-23.pdf" TargetMode="External"/><Relationship Id="rId25" Type="http://schemas.openxmlformats.org/officeDocument/2006/relationships/hyperlink" Target="https://www.govinfo.gov/content/pkg/FR-2023-09-21/pdf/2023-2047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ncen.gov/news/news-releases/fincen-issues-final-rule-regarding-access-beneficial-ownership-information" TargetMode="External"/><Relationship Id="rId20" Type="http://schemas.openxmlformats.org/officeDocument/2006/relationships/hyperlink" Target="https://www.govinfo.gov/content/pkg/FR-2023-07-21/pdf/2023-12609.pdf" TargetMode="External"/><Relationship Id="rId29" Type="http://schemas.openxmlformats.org/officeDocument/2006/relationships/hyperlink" Target="https://www.federalreserve.gov/newsevents/pressreleases/files/bcreg20231127a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info.gov/content/pkg/FR-2023-09-21/pdf/2023-20476.pdf" TargetMode="External"/><Relationship Id="rId11" Type="http://schemas.openxmlformats.org/officeDocument/2006/relationships/hyperlink" Target="https://www.govinfo.gov/content/pkg/FR-2023-12-21/pdf/2023-28079.pdf" TargetMode="External"/><Relationship Id="rId24" Type="http://schemas.openxmlformats.org/officeDocument/2006/relationships/hyperlink" Target="https://www.govinfo.gov/content/pkg/FR-2023-09-21/pdf/2023-20476.pdf" TargetMode="External"/><Relationship Id="rId5" Type="http://schemas.openxmlformats.org/officeDocument/2006/relationships/hyperlink" Target="https://www.govinfo.gov/content/pkg/FR-2023-11-29/pdf/2023-25047.pdf?utm_campaign=subscription+mailing+list&amp;utm_medium=email&amp;utm_source=federalregister.gov" TargetMode="External"/><Relationship Id="rId15" Type="http://schemas.openxmlformats.org/officeDocument/2006/relationships/hyperlink" Target="https://www.govinfo.gov/content/pkg/FR-2023-11-21/pdf/2023-25749.pdf" TargetMode="External"/><Relationship Id="rId23" Type="http://schemas.openxmlformats.org/officeDocument/2006/relationships/hyperlink" Target="https://www.govinfo.gov/content/pkg/FR-2023-12-21/pdf/2023-28076.pdf" TargetMode="External"/><Relationship Id="rId28" Type="http://schemas.openxmlformats.org/officeDocument/2006/relationships/hyperlink" Target="https://www.govinfo.gov/content/pkg/FR-2023-09-21/pdf/2023-20476.pdf" TargetMode="External"/><Relationship Id="rId10" Type="http://schemas.openxmlformats.org/officeDocument/2006/relationships/hyperlink" Target="https://www.govinfo.gov/content/pkg/FR-2023-12-21/pdf/2023-28076.pdf" TargetMode="External"/><Relationship Id="rId19" Type="http://schemas.openxmlformats.org/officeDocument/2006/relationships/hyperlink" Target="https://www.federalregister.gov/documents/2023/10/18/2023-22968/joint-statement-on-fair-lending-and-credit-opportunities-for-noncitizen-borrowers-under-the-equa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3-11-29/pdf/2023-25049.pdf" TargetMode="External"/><Relationship Id="rId14" Type="http://schemas.openxmlformats.org/officeDocument/2006/relationships/hyperlink" Target="https://www.fincen.gov/news/news-releases/fincen-issues-final-rule-regarding-access-beneficial-ownership-information" TargetMode="External"/><Relationship Id="rId22" Type="http://schemas.openxmlformats.org/officeDocument/2006/relationships/hyperlink" Target="https://www.federalregister.gov/documents/2023/07/21/2023-12609/interagency-guidance-on-reconsiderations-of-value-of-residential-real-estate-valuations" TargetMode="External"/><Relationship Id="rId27" Type="http://schemas.openxmlformats.org/officeDocument/2006/relationships/hyperlink" Target="https://www.govinfo.gov/content/pkg/FR-2023-12-21/pdf/2023-28079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Glory LeDu</cp:lastModifiedBy>
  <cp:revision>4</cp:revision>
  <dcterms:created xsi:type="dcterms:W3CDTF">2024-01-09T19:35:00Z</dcterms:created>
  <dcterms:modified xsi:type="dcterms:W3CDTF">2024-01-09T19:36:00Z</dcterms:modified>
</cp:coreProperties>
</file>